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363AA" w14:textId="77777777" w:rsidR="00153E15" w:rsidRPr="00153E15" w:rsidRDefault="00153E15" w:rsidP="00E804A4">
      <w:pPr>
        <w:pStyle w:val="Nagwek1"/>
      </w:pPr>
      <w:proofErr w:type="spellStart"/>
      <w:r w:rsidRPr="00153E15">
        <w:t>Audiodeskrypcja</w:t>
      </w:r>
      <w:proofErr w:type="spellEnd"/>
      <w:r w:rsidRPr="00153E15">
        <w:t xml:space="preserve"> przestrzeni wystawy „</w:t>
      </w:r>
      <w:proofErr w:type="spellStart"/>
      <w:r w:rsidRPr="00153E15">
        <w:t>Suzanne</w:t>
      </w:r>
      <w:proofErr w:type="spellEnd"/>
      <w:r w:rsidRPr="00153E15">
        <w:t xml:space="preserve"> </w:t>
      </w:r>
      <w:proofErr w:type="spellStart"/>
      <w:r w:rsidRPr="00153E15">
        <w:t>Treister</w:t>
      </w:r>
      <w:proofErr w:type="spellEnd"/>
      <w:r w:rsidRPr="00153E15">
        <w:t>: Prorocze śnienie”</w:t>
      </w:r>
    </w:p>
    <w:p w14:paraId="69534234" w14:textId="2B80B199" w:rsidR="00153E15" w:rsidRPr="00153E15" w:rsidRDefault="00153E15" w:rsidP="00E804A4">
      <w:r w:rsidRPr="00153E15">
        <w:t>Wystawa „</w:t>
      </w:r>
      <w:proofErr w:type="spellStart"/>
      <w:r w:rsidRPr="00153E15">
        <w:t>Suzanne</w:t>
      </w:r>
      <w:proofErr w:type="spellEnd"/>
      <w:r w:rsidRPr="00153E15">
        <w:t xml:space="preserve"> </w:t>
      </w:r>
      <w:proofErr w:type="spellStart"/>
      <w:r w:rsidRPr="00153E15">
        <w:t>Treister</w:t>
      </w:r>
      <w:proofErr w:type="spellEnd"/>
      <w:r w:rsidRPr="00153E15">
        <w:t>: Prorocze śnienie” w Muzeum Sztuki w Łodzi to pierwsza w</w:t>
      </w:r>
      <w:r w:rsidR="00E804A4">
        <w:t> </w:t>
      </w:r>
      <w:r w:rsidRPr="00153E15">
        <w:t xml:space="preserve">Polsce retrospektywa twórczości </w:t>
      </w:r>
      <w:r w:rsidR="00E804A4">
        <w:t>tej brytyjskiej Artystki</w:t>
      </w:r>
      <w:r w:rsidRPr="00153E15">
        <w:t>. Ekspozycja prezentowana jest w</w:t>
      </w:r>
      <w:r w:rsidR="00E804A4">
        <w:t> </w:t>
      </w:r>
      <w:r w:rsidRPr="00153E15">
        <w:t>budynku ms1 przy ul. Gdańskiej 43, na trzecim piętrze.</w:t>
      </w:r>
    </w:p>
    <w:p w14:paraId="3A1FAFBD" w14:textId="77777777" w:rsidR="00153E15" w:rsidRPr="00153E15" w:rsidRDefault="00153E15" w:rsidP="00E804A4">
      <w:pPr>
        <w:pStyle w:val="Nagwek2"/>
      </w:pPr>
      <w:r w:rsidRPr="00153E15">
        <w:t>Wejście i początek zwiedzania</w:t>
      </w:r>
    </w:p>
    <w:p w14:paraId="2DCD21E1" w14:textId="7C0BFDCB" w:rsidR="00153E15" w:rsidRPr="00153E15" w:rsidRDefault="00153E15" w:rsidP="00153E15">
      <w:r w:rsidRPr="00153E15">
        <w:t xml:space="preserve">Po wejściu do Muzeum należy udać się do kas, zakupić bilet, a następnie wjechać windą na trzecie piętro. Drzwi do galerii znajdują się bezpośrednio na wprost wyjścia z windy. Po wejściu, po prawej stronie, umieszczono ramkę z </w:t>
      </w:r>
      <w:proofErr w:type="spellStart"/>
      <w:r w:rsidRPr="00153E15">
        <w:t>tyflomapą</w:t>
      </w:r>
      <w:proofErr w:type="spellEnd"/>
      <w:r w:rsidRPr="00153E15">
        <w:t xml:space="preserve"> oraz tekstem o wystawie zapisanym w brajlu.</w:t>
      </w:r>
      <w:r w:rsidR="00E804A4">
        <w:t xml:space="preserve"> </w:t>
      </w:r>
      <w:r w:rsidRPr="00153E15">
        <w:t xml:space="preserve">Wystawa obejmuje dwanaście </w:t>
      </w:r>
      <w:proofErr w:type="spellStart"/>
      <w:r w:rsidRPr="00153E15">
        <w:t>sal</w:t>
      </w:r>
      <w:proofErr w:type="spellEnd"/>
      <w:r w:rsidRPr="00153E15">
        <w:t>, ułożonych częściowo amfiladowo. Zwiedzanie rozpoczyna się od skrętu w prawą stronę.</w:t>
      </w:r>
    </w:p>
    <w:p w14:paraId="31998B48" w14:textId="77777777" w:rsidR="00153E15" w:rsidRPr="00153E15" w:rsidRDefault="00153E15" w:rsidP="00E804A4">
      <w:pPr>
        <w:pStyle w:val="Nagwek2"/>
      </w:pPr>
      <w:r w:rsidRPr="00153E15">
        <w:t>Sala 1</w:t>
      </w:r>
    </w:p>
    <w:p w14:paraId="6A811B20" w14:textId="77777777" w:rsidR="00153E15" w:rsidRPr="00153E15" w:rsidRDefault="00153E15" w:rsidP="00153E15">
      <w:r w:rsidRPr="00153E15">
        <w:t>Ściany mają kolor ciemnogranatowy. Na nich wiszą wielkoformatowe, intensywnie kolorowe obrazy.</w:t>
      </w:r>
    </w:p>
    <w:p w14:paraId="75FA8FE3" w14:textId="77777777" w:rsidR="00153E15" w:rsidRPr="00153E15" w:rsidRDefault="00153E15" w:rsidP="00E804A4">
      <w:pPr>
        <w:pStyle w:val="Nagwek2"/>
      </w:pPr>
      <w:r w:rsidRPr="00153E15">
        <w:t>Sala 2</w:t>
      </w:r>
    </w:p>
    <w:p w14:paraId="286EDB92" w14:textId="77777777" w:rsidR="00153E15" w:rsidRPr="00153E15" w:rsidRDefault="00153E15" w:rsidP="00153E15">
      <w:r w:rsidRPr="00153E15">
        <w:t>Ściany również są ciemnogranatowe. Na ścianie na wprost zawieszono w trzech rzędach dwadzieścia cztery kolorowe obrazy w czarnych ramach, rozmieszczone gęsto obok siebie. Pod nimi stoi duża gablota. Na pozostałych ścianach znajdują się kolejne duże, kolorowe obrazy.</w:t>
      </w:r>
    </w:p>
    <w:p w14:paraId="3FEA3D4A" w14:textId="77777777" w:rsidR="00153E15" w:rsidRPr="00153E15" w:rsidRDefault="00153E15" w:rsidP="00E804A4">
      <w:pPr>
        <w:pStyle w:val="Nagwek2"/>
      </w:pPr>
      <w:r w:rsidRPr="00153E15">
        <w:t>Sala 3</w:t>
      </w:r>
    </w:p>
    <w:p w14:paraId="183E2424" w14:textId="6AB2E920" w:rsidR="00153E15" w:rsidRPr="00153E15" w:rsidRDefault="00153E15" w:rsidP="00153E15">
      <w:r w:rsidRPr="00153E15">
        <w:t xml:space="preserve">To druga z sześciu </w:t>
      </w:r>
      <w:proofErr w:type="spellStart"/>
      <w:r w:rsidRPr="00153E15">
        <w:t>sal</w:t>
      </w:r>
      <w:proofErr w:type="spellEnd"/>
      <w:r w:rsidRPr="00153E15">
        <w:t xml:space="preserve"> połączonych amfiladowo. Ściany są białe. Po prawej stronie, w</w:t>
      </w:r>
      <w:r w:rsidR="00E804A4">
        <w:t> </w:t>
      </w:r>
      <w:r w:rsidRPr="00153E15">
        <w:t>narożniku, na niewysokim postumencie stoi manekin symbolizujący mitycznego Golema. Obok niego wiszą duże schematy. Wzdłuż lewej ściany ustawiono trzy telewizory na postumentach.</w:t>
      </w:r>
      <w:r w:rsidR="00776F81">
        <w:t xml:space="preserve"> Przed telewizorami ustawiono ławki.</w:t>
      </w:r>
    </w:p>
    <w:p w14:paraId="22FD2DE8" w14:textId="77777777" w:rsidR="00153E15" w:rsidRPr="00153E15" w:rsidRDefault="00153E15" w:rsidP="00E804A4">
      <w:pPr>
        <w:pStyle w:val="Nagwek2"/>
      </w:pPr>
      <w:r w:rsidRPr="00153E15">
        <w:t>Sala 4</w:t>
      </w:r>
    </w:p>
    <w:p w14:paraId="65D6D2EE" w14:textId="44E67F7D" w:rsidR="00153E15" w:rsidRPr="00153E15" w:rsidRDefault="00153E15" w:rsidP="00153E15">
      <w:r w:rsidRPr="00153E15">
        <w:t xml:space="preserve">Ściany są białe. Po prawej stronie wiszą dwa telewizory. Po lewej stronie również znajdują się dwa telewizory, ustawione na postumentach. </w:t>
      </w:r>
      <w:r w:rsidR="00776F81">
        <w:t xml:space="preserve">Przed telewizorami po lewej stronie ustawiono ławki. </w:t>
      </w:r>
      <w:r w:rsidRPr="00153E15">
        <w:t>Na ścianach wokół nich rozmieszczono grafiki.</w:t>
      </w:r>
    </w:p>
    <w:p w14:paraId="7D66D065" w14:textId="77777777" w:rsidR="00153E15" w:rsidRPr="00153E15" w:rsidRDefault="00153E15" w:rsidP="00E804A4">
      <w:pPr>
        <w:pStyle w:val="Nagwek2"/>
      </w:pPr>
      <w:r w:rsidRPr="00153E15">
        <w:t>Sala 5</w:t>
      </w:r>
    </w:p>
    <w:p w14:paraId="6C55AE05" w14:textId="77777777" w:rsidR="00153E15" w:rsidRPr="00153E15" w:rsidRDefault="00153E15" w:rsidP="00153E15">
      <w:r w:rsidRPr="00153E15">
        <w:t>Pomieszczenie ma zabytkowy charakter. Po lewej stronie stoi biurko z komputerem. Na wprost, również po lewej stronie, znajduje się gablota. Po prawej stronie, na niskim okrągłym postumencie, ustawiono manekin ubrany w obszerną srebrną suknię.</w:t>
      </w:r>
    </w:p>
    <w:p w14:paraId="2E01F56C" w14:textId="77777777" w:rsidR="00153E15" w:rsidRPr="00153E15" w:rsidRDefault="00153E15" w:rsidP="00153E15">
      <w:r w:rsidRPr="00153E15">
        <w:lastRenderedPageBreak/>
        <w:t xml:space="preserve">Z tego miejsca należy skręcić dwa razy w lewo, aby wejść do kolejnego zabytkowego pomieszczenia wyłożonego boazerią. W tej przestrzeni pod sufitem zawieszono prace </w:t>
      </w:r>
      <w:proofErr w:type="spellStart"/>
      <w:r w:rsidRPr="00153E15">
        <w:t>Treister</w:t>
      </w:r>
      <w:proofErr w:type="spellEnd"/>
      <w:r w:rsidRPr="00153E15">
        <w:t xml:space="preserve"> wykonane na tkaninach. Po obejrzeniu wracamy do sali 5 i przechodzimy dalej.</w:t>
      </w:r>
    </w:p>
    <w:p w14:paraId="1C30F09A" w14:textId="77777777" w:rsidR="00153E15" w:rsidRPr="00153E15" w:rsidRDefault="00153E15" w:rsidP="00E804A4">
      <w:pPr>
        <w:pStyle w:val="Nagwek2"/>
      </w:pPr>
      <w:r w:rsidRPr="00153E15">
        <w:t>Sala 6</w:t>
      </w:r>
    </w:p>
    <w:p w14:paraId="1C8AF88C" w14:textId="2D80E8DE" w:rsidR="00153E15" w:rsidRPr="00153E15" w:rsidRDefault="00153E15" w:rsidP="00153E15">
      <w:r w:rsidRPr="00153E15">
        <w:t>Ściany mają kolor oliwkowo</w:t>
      </w:r>
      <w:r w:rsidRPr="00153E15">
        <w:noBreakHyphen/>
        <w:t xml:space="preserve">szary. Po prawej stronie stoi duża gablota, a za nią na ścianie wiszą duże diagramy. Dalej, również po prawej stronie, znajdują się dwa telewizory, pomiędzy którymi umieszczono dwie duże grafiki. </w:t>
      </w:r>
      <w:r w:rsidR="00776F81">
        <w:t xml:space="preserve">Przed telewizorami ustawiono ławki. </w:t>
      </w:r>
      <w:r w:rsidRPr="00153E15">
        <w:t>Po lewej stronie ustawiono dwie wąskie gabloty, a na ścianach rozmieszczono liczne grafiki.</w:t>
      </w:r>
    </w:p>
    <w:p w14:paraId="1A6DD9F8" w14:textId="77777777" w:rsidR="00153E15" w:rsidRPr="00153E15" w:rsidRDefault="00153E15" w:rsidP="00E804A4">
      <w:pPr>
        <w:pStyle w:val="Nagwek2"/>
      </w:pPr>
      <w:r w:rsidRPr="00153E15">
        <w:t>Sala 7</w:t>
      </w:r>
    </w:p>
    <w:p w14:paraId="034FC109" w14:textId="77777777" w:rsidR="00153E15" w:rsidRPr="00153E15" w:rsidRDefault="00153E15" w:rsidP="00153E15">
      <w:r w:rsidRPr="00153E15">
        <w:t>Ściany są oliwkowo</w:t>
      </w:r>
      <w:r w:rsidRPr="00153E15">
        <w:noBreakHyphen/>
        <w:t>szare. Po prawej stronie ustawiono telewizor. Na ścianach wiszą diagramy, grafiki i fotografie. Z tej sali skręcamy w lewo, przechodząc do kolejnej przestrzeni.</w:t>
      </w:r>
    </w:p>
    <w:p w14:paraId="25AD23C1" w14:textId="77777777" w:rsidR="00153E15" w:rsidRPr="00153E15" w:rsidRDefault="00153E15" w:rsidP="00E804A4">
      <w:pPr>
        <w:pStyle w:val="Nagwek2"/>
      </w:pPr>
      <w:r w:rsidRPr="00153E15">
        <w:t>Sala 8</w:t>
      </w:r>
    </w:p>
    <w:p w14:paraId="7E416067" w14:textId="77777777" w:rsidR="00153E15" w:rsidRPr="00153E15" w:rsidRDefault="00153E15" w:rsidP="00153E15">
      <w:r w:rsidRPr="00153E15">
        <w:t>Ściany mają kolor granatowy. Po prawej stronie znajduje się duży kolorowy obraz. Na całej długości prawej ściany powieszono fototapetę z motywem przypominającym mapę świata. W górnej części tej ściany umieszczono dwa telewizory. Na lewej ścianie wisi kilkadziesiąt grafik przedstawiających karty tarota, każda w osobnej ramie.</w:t>
      </w:r>
    </w:p>
    <w:p w14:paraId="2D1C5697" w14:textId="77777777" w:rsidR="00153E15" w:rsidRPr="00153E15" w:rsidRDefault="00153E15" w:rsidP="00E804A4">
      <w:pPr>
        <w:pStyle w:val="Nagwek2"/>
      </w:pPr>
      <w:r w:rsidRPr="00153E15">
        <w:t>Sala 9</w:t>
      </w:r>
    </w:p>
    <w:p w14:paraId="3332AC68" w14:textId="77777777" w:rsidR="00153E15" w:rsidRPr="00153E15" w:rsidRDefault="00153E15" w:rsidP="00153E15">
      <w:r w:rsidRPr="00153E15">
        <w:t>Niewielka sala o czarnych ścianach. Po lewej stronie powieszono telewizor, po prawej stronie stoi ławka.</w:t>
      </w:r>
    </w:p>
    <w:p w14:paraId="3A0CEB8C" w14:textId="77777777" w:rsidR="00153E15" w:rsidRPr="00153E15" w:rsidRDefault="00153E15" w:rsidP="00E804A4">
      <w:pPr>
        <w:pStyle w:val="Nagwek2"/>
      </w:pPr>
      <w:r w:rsidRPr="00153E15">
        <w:t>Sala 10</w:t>
      </w:r>
    </w:p>
    <w:p w14:paraId="1CB52491" w14:textId="1AB8153F" w:rsidR="00153E15" w:rsidRPr="00153E15" w:rsidRDefault="00153E15" w:rsidP="00153E15">
      <w:r w:rsidRPr="00153E15">
        <w:t>Ściany mają kolor granatowy. Po prawej stronie zawieszono wiele małych grafik, każdą w</w:t>
      </w:r>
      <w:r w:rsidR="00E804A4">
        <w:t> </w:t>
      </w:r>
      <w:r w:rsidRPr="00153E15">
        <w:t xml:space="preserve">osobnej ramie. Po lewej stronie, na wąskiej ścianie, znajduje się telewizor. </w:t>
      </w:r>
      <w:r w:rsidR="00776F81">
        <w:t xml:space="preserve">Przed nim ławka. </w:t>
      </w:r>
      <w:r w:rsidRPr="00153E15">
        <w:t>Dalej, na całej długości ściany, umieszczono fototapetę przedstawiającą zmodyfikowany pejzaż miejski. Na ścianie na wprost wiszą grafiki z kolorowymi roślinami na czarnym tle.</w:t>
      </w:r>
    </w:p>
    <w:p w14:paraId="6C4885D2" w14:textId="77777777" w:rsidR="00153E15" w:rsidRPr="00153E15" w:rsidRDefault="00153E15" w:rsidP="00153E15">
      <w:r w:rsidRPr="00153E15">
        <w:t>Po obejrzeniu sali wracamy do sali 9 i skręcamy w prawo.</w:t>
      </w:r>
    </w:p>
    <w:p w14:paraId="3542BD81" w14:textId="77777777" w:rsidR="00153E15" w:rsidRPr="00153E15" w:rsidRDefault="00153E15" w:rsidP="00E804A4">
      <w:pPr>
        <w:pStyle w:val="Nagwek2"/>
      </w:pPr>
      <w:r w:rsidRPr="00153E15">
        <w:t>Korytarz i ostatnia sala</w:t>
      </w:r>
    </w:p>
    <w:p w14:paraId="5509782B" w14:textId="2EC7809E" w:rsidR="00153E15" w:rsidRPr="00153E15" w:rsidRDefault="00153E15" w:rsidP="00153E15">
      <w:r w:rsidRPr="00153E15">
        <w:t>Znajdujemy się w przestrzeni o jasnobłękitnych ścianach. W korytarzu, po lewej stronie, wiszą dwa wielkoformatowe obrazy.</w:t>
      </w:r>
      <w:r w:rsidR="00E804A4">
        <w:t xml:space="preserve"> </w:t>
      </w:r>
      <w:r w:rsidRPr="00153E15">
        <w:t>W sali po prawej stronie, na całej ścianie, znajduje się fototapeta przedstawiająca górski krajobraz z dużym budynkiem przypominającym baśniowy zamek. Pod ścianami po lewej i</w:t>
      </w:r>
      <w:r w:rsidR="00E804A4">
        <w:t> </w:t>
      </w:r>
      <w:r w:rsidRPr="00153E15">
        <w:t>prawej stronie stoją dwie gabloty z rozłożonymi kartami tarota. Na ścianach rozmieszczono liczne małe grafiki.</w:t>
      </w:r>
    </w:p>
    <w:p w14:paraId="6753E482" w14:textId="77777777" w:rsidR="00153E15" w:rsidRPr="00153E15" w:rsidRDefault="00153E15" w:rsidP="00E804A4">
      <w:pPr>
        <w:pStyle w:val="Nagwek2"/>
      </w:pPr>
      <w:r w:rsidRPr="00153E15">
        <w:lastRenderedPageBreak/>
        <w:t>Zakończenie zwiedzania</w:t>
      </w:r>
    </w:p>
    <w:p w14:paraId="187235BB" w14:textId="77777777" w:rsidR="00153E15" w:rsidRPr="00153E15" w:rsidRDefault="00153E15" w:rsidP="00153E15">
      <w:r w:rsidRPr="00153E15">
        <w:t>Z tej sali należy wrócić do sali 8, a następnie kierować się w stronę wyjścia z galerii.</w:t>
      </w:r>
    </w:p>
    <w:sectPr w:rsidR="00153E15" w:rsidRPr="00153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43A80"/>
    <w:multiLevelType w:val="hybridMultilevel"/>
    <w:tmpl w:val="6C743F3C"/>
    <w:lvl w:ilvl="0" w:tplc="D2187480">
      <w:start w:val="1"/>
      <w:numFmt w:val="decimal"/>
      <w:pStyle w:val="listanumerowana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128A2"/>
    <w:multiLevelType w:val="hybridMultilevel"/>
    <w:tmpl w:val="1E9CB3C4"/>
    <w:lvl w:ilvl="0" w:tplc="35CC45BE">
      <w:start w:val="1"/>
      <w:numFmt w:val="decimal"/>
      <w:pStyle w:val="zacznikilistanumerowana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A2905"/>
    <w:multiLevelType w:val="hybridMultilevel"/>
    <w:tmpl w:val="DD58FDDE"/>
    <w:lvl w:ilvl="0" w:tplc="D1CC1244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33568">
    <w:abstractNumId w:val="1"/>
  </w:num>
  <w:num w:numId="2" w16cid:durableId="660543690">
    <w:abstractNumId w:val="0"/>
  </w:num>
  <w:num w:numId="3" w16cid:durableId="1684697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17C"/>
    <w:rsid w:val="00021462"/>
    <w:rsid w:val="00023F21"/>
    <w:rsid w:val="00032345"/>
    <w:rsid w:val="000359F9"/>
    <w:rsid w:val="00064A27"/>
    <w:rsid w:val="000744F7"/>
    <w:rsid w:val="00131F6D"/>
    <w:rsid w:val="00145754"/>
    <w:rsid w:val="00146094"/>
    <w:rsid w:val="00153E15"/>
    <w:rsid w:val="00170EA0"/>
    <w:rsid w:val="001B2F94"/>
    <w:rsid w:val="001F7694"/>
    <w:rsid w:val="00220B4A"/>
    <w:rsid w:val="0024284E"/>
    <w:rsid w:val="002E76CB"/>
    <w:rsid w:val="002F7D77"/>
    <w:rsid w:val="00365E71"/>
    <w:rsid w:val="003A1EE2"/>
    <w:rsid w:val="003B21FE"/>
    <w:rsid w:val="003C488E"/>
    <w:rsid w:val="003E3C6E"/>
    <w:rsid w:val="00421C00"/>
    <w:rsid w:val="00430FAE"/>
    <w:rsid w:val="00440C9D"/>
    <w:rsid w:val="0046746D"/>
    <w:rsid w:val="00497165"/>
    <w:rsid w:val="004C285B"/>
    <w:rsid w:val="004C448E"/>
    <w:rsid w:val="004C6588"/>
    <w:rsid w:val="004C6E0A"/>
    <w:rsid w:val="004D1909"/>
    <w:rsid w:val="004E5EC7"/>
    <w:rsid w:val="004F5F6A"/>
    <w:rsid w:val="005031BC"/>
    <w:rsid w:val="00512A87"/>
    <w:rsid w:val="00523B73"/>
    <w:rsid w:val="005305C9"/>
    <w:rsid w:val="0055434A"/>
    <w:rsid w:val="005623C1"/>
    <w:rsid w:val="0057193A"/>
    <w:rsid w:val="00581415"/>
    <w:rsid w:val="00593935"/>
    <w:rsid w:val="005945C7"/>
    <w:rsid w:val="005A19F9"/>
    <w:rsid w:val="005A1D5A"/>
    <w:rsid w:val="005A2E8D"/>
    <w:rsid w:val="005D4452"/>
    <w:rsid w:val="005E7B70"/>
    <w:rsid w:val="005F4466"/>
    <w:rsid w:val="00625DBD"/>
    <w:rsid w:val="00646983"/>
    <w:rsid w:val="00694358"/>
    <w:rsid w:val="00697462"/>
    <w:rsid w:val="006B55A9"/>
    <w:rsid w:val="006C2E5F"/>
    <w:rsid w:val="006E12DF"/>
    <w:rsid w:val="006E7C9F"/>
    <w:rsid w:val="006F03BA"/>
    <w:rsid w:val="007105AB"/>
    <w:rsid w:val="00771BCE"/>
    <w:rsid w:val="00776F81"/>
    <w:rsid w:val="007C4F2C"/>
    <w:rsid w:val="007E38C1"/>
    <w:rsid w:val="0081717C"/>
    <w:rsid w:val="00835DE6"/>
    <w:rsid w:val="0087170F"/>
    <w:rsid w:val="008A5CDA"/>
    <w:rsid w:val="008C513B"/>
    <w:rsid w:val="0090702E"/>
    <w:rsid w:val="00960F45"/>
    <w:rsid w:val="009A6B78"/>
    <w:rsid w:val="00A4429D"/>
    <w:rsid w:val="00A474D6"/>
    <w:rsid w:val="00A74E83"/>
    <w:rsid w:val="00A77072"/>
    <w:rsid w:val="00A80FC2"/>
    <w:rsid w:val="00A85D02"/>
    <w:rsid w:val="00B07BA4"/>
    <w:rsid w:val="00B26210"/>
    <w:rsid w:val="00B477DC"/>
    <w:rsid w:val="00B65865"/>
    <w:rsid w:val="00B6718C"/>
    <w:rsid w:val="00B8312A"/>
    <w:rsid w:val="00BA2B16"/>
    <w:rsid w:val="00BB3CFA"/>
    <w:rsid w:val="00BB6F15"/>
    <w:rsid w:val="00BC34DB"/>
    <w:rsid w:val="00C03D84"/>
    <w:rsid w:val="00C15933"/>
    <w:rsid w:val="00C232F5"/>
    <w:rsid w:val="00C26A86"/>
    <w:rsid w:val="00C65C4F"/>
    <w:rsid w:val="00C728CE"/>
    <w:rsid w:val="00D0282A"/>
    <w:rsid w:val="00D02CB0"/>
    <w:rsid w:val="00D03D2B"/>
    <w:rsid w:val="00D03DB3"/>
    <w:rsid w:val="00D0663E"/>
    <w:rsid w:val="00D069C2"/>
    <w:rsid w:val="00D14634"/>
    <w:rsid w:val="00D25F6A"/>
    <w:rsid w:val="00D339D2"/>
    <w:rsid w:val="00D34139"/>
    <w:rsid w:val="00D4007D"/>
    <w:rsid w:val="00D46A89"/>
    <w:rsid w:val="00D964C7"/>
    <w:rsid w:val="00DB0A18"/>
    <w:rsid w:val="00DC5FE2"/>
    <w:rsid w:val="00DE6DB5"/>
    <w:rsid w:val="00E804A4"/>
    <w:rsid w:val="00E9120F"/>
    <w:rsid w:val="00EC1621"/>
    <w:rsid w:val="00EF7F11"/>
    <w:rsid w:val="00F14BD2"/>
    <w:rsid w:val="00F246DA"/>
    <w:rsid w:val="00F41109"/>
    <w:rsid w:val="00F500A7"/>
    <w:rsid w:val="00F560DC"/>
    <w:rsid w:val="00F665D5"/>
    <w:rsid w:val="00F70A64"/>
    <w:rsid w:val="00F76A64"/>
    <w:rsid w:val="00F81697"/>
    <w:rsid w:val="00F8668D"/>
    <w:rsid w:val="00FC4E1F"/>
    <w:rsid w:val="00FF1AA2"/>
    <w:rsid w:val="00FF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87566"/>
  <w15:chartTrackingRefBased/>
  <w15:docId w15:val="{E05E261E-0F3E-4371-AE01-12E56A973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ny">
    <w:name w:val="Normal"/>
    <w:uiPriority w:val="1"/>
    <w:qFormat/>
    <w:rsid w:val="00EF7F11"/>
    <w:rPr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246DA"/>
    <w:pPr>
      <w:keepNext/>
      <w:keepLines/>
      <w:spacing w:before="240" w:line="259" w:lineRule="auto"/>
      <w:outlineLvl w:val="0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E804A4"/>
    <w:pPr>
      <w:keepNext/>
      <w:keepLines/>
      <w:spacing w:before="40" w:line="259" w:lineRule="auto"/>
      <w:outlineLvl w:val="1"/>
    </w:pPr>
    <w:rPr>
      <w:rFonts w:eastAsiaTheme="majorEastAsia" w:cstheme="majorBidi"/>
      <w:b/>
      <w:kern w:val="2"/>
      <w:szCs w:val="26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rsid w:val="008171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qFormat/>
    <w:rsid w:val="008171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qFormat/>
    <w:rsid w:val="008171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qFormat/>
    <w:rsid w:val="008171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qFormat/>
    <w:rsid w:val="008171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qFormat/>
    <w:rsid w:val="008171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qFormat/>
    <w:rsid w:val="008171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46DA"/>
    <w:rPr>
      <w:rFonts w:eastAsiaTheme="majorEastAsia" w:cstheme="majorBidi"/>
      <w:b/>
      <w:sz w:val="28"/>
      <w:szCs w:val="32"/>
    </w:rPr>
  </w:style>
  <w:style w:type="paragraph" w:customStyle="1" w:styleId="Adresat-imi">
    <w:name w:val="Adresat - imię"/>
    <w:aliases w:val="nazwisko,funkcja"/>
    <w:basedOn w:val="Normalny"/>
    <w:qFormat/>
    <w:rsid w:val="00EF7F11"/>
    <w:pPr>
      <w:spacing w:before="360"/>
    </w:pPr>
    <w:rPr>
      <w:rFonts w:cs="Calibri"/>
      <w:b/>
      <w:bCs/>
    </w:rPr>
  </w:style>
  <w:style w:type="paragraph" w:customStyle="1" w:styleId="Adresat-instytucja">
    <w:name w:val="Adresat - instytucja"/>
    <w:aliases w:val="adres"/>
    <w:basedOn w:val="Normalny"/>
    <w:qFormat/>
    <w:rsid w:val="00EF7F11"/>
    <w:pPr>
      <w:spacing w:after="600"/>
    </w:pPr>
    <w:rPr>
      <w:rFonts w:cs="Calibri"/>
      <w:bCs/>
    </w:rPr>
  </w:style>
  <w:style w:type="paragraph" w:customStyle="1" w:styleId="data">
    <w:name w:val="data"/>
    <w:aliases w:val="sygnatura"/>
    <w:basedOn w:val="Normalny"/>
    <w:qFormat/>
    <w:rsid w:val="00EF7F11"/>
    <w:pPr>
      <w:spacing w:after="600"/>
      <w:jc w:val="right"/>
    </w:pPr>
    <w:rPr>
      <w:rFonts w:cs="Calibri"/>
      <w:bCs/>
    </w:rPr>
  </w:style>
  <w:style w:type="paragraph" w:customStyle="1" w:styleId="waciwatrepisma">
    <w:name w:val="właściwa treść pisma"/>
    <w:basedOn w:val="Normalny"/>
    <w:qFormat/>
    <w:rsid w:val="00960F45"/>
    <w:pPr>
      <w:spacing w:before="120"/>
    </w:pPr>
    <w:rPr>
      <w:rFonts w:cs="Calibri"/>
      <w:bCs/>
    </w:rPr>
  </w:style>
  <w:style w:type="paragraph" w:customStyle="1" w:styleId="Zwyrazamiszacunku">
    <w:name w:val="Z wyrazami szacunku"/>
    <w:basedOn w:val="waciwatrepisma"/>
    <w:uiPriority w:val="1"/>
    <w:qFormat/>
    <w:rsid w:val="00F41109"/>
    <w:pPr>
      <w:spacing w:before="600"/>
    </w:pPr>
  </w:style>
  <w:style w:type="paragraph" w:customStyle="1" w:styleId="zwyrazamiszacunku0">
    <w:name w:val="z wyrazami szacunku"/>
    <w:basedOn w:val="waciwatrepisma"/>
    <w:next w:val="Normalny"/>
    <w:qFormat/>
    <w:rsid w:val="00EF7F11"/>
    <w:pPr>
      <w:spacing w:before="600"/>
    </w:pPr>
  </w:style>
  <w:style w:type="character" w:customStyle="1" w:styleId="Nagwek2Znak">
    <w:name w:val="Nagłówek 2 Znak"/>
    <w:basedOn w:val="Domylnaczcionkaakapitu"/>
    <w:link w:val="Nagwek2"/>
    <w:uiPriority w:val="9"/>
    <w:rsid w:val="00E804A4"/>
    <w:rPr>
      <w:rFonts w:eastAsiaTheme="majorEastAsia" w:cstheme="majorBidi"/>
      <w:b/>
      <w:szCs w:val="26"/>
    </w:rPr>
  </w:style>
  <w:style w:type="paragraph" w:styleId="Nagwek">
    <w:name w:val="header"/>
    <w:basedOn w:val="Normalny"/>
    <w:link w:val="NagwekZnak"/>
    <w:uiPriority w:val="99"/>
    <w:semiHidden/>
    <w:rsid w:val="00EF7F1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F7F11"/>
    <w:rPr>
      <w:rFonts w:eastAsia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semiHidden/>
    <w:rsid w:val="00EF7F1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F7F11"/>
    <w:rPr>
      <w:rFonts w:eastAsia="Calibri"/>
      <w:kern w:val="0"/>
      <w:lang w:eastAsia="pl-PL"/>
      <w14:ligatures w14:val="none"/>
    </w:rPr>
  </w:style>
  <w:style w:type="character" w:styleId="Uwydatnienie">
    <w:name w:val="Emphasis"/>
    <w:basedOn w:val="Domylnaczcionkaakapitu"/>
    <w:uiPriority w:val="20"/>
    <w:rsid w:val="00EF7F11"/>
    <w:rPr>
      <w:i/>
      <w:iCs/>
    </w:rPr>
  </w:style>
  <w:style w:type="paragraph" w:styleId="Akapitzlist">
    <w:name w:val="List Paragraph"/>
    <w:basedOn w:val="Normalny"/>
    <w:uiPriority w:val="34"/>
    <w:rsid w:val="00EF7F11"/>
    <w:pPr>
      <w:ind w:left="708"/>
    </w:pPr>
  </w:style>
  <w:style w:type="paragraph" w:customStyle="1" w:styleId="MuzeumSztukiwodzi">
    <w:name w:val="Muzeum Sztuki w Łodzi"/>
    <w:basedOn w:val="Normalny"/>
    <w:qFormat/>
    <w:rsid w:val="00EF7F11"/>
    <w:pPr>
      <w:keepLines/>
      <w:spacing w:before="240" w:after="600" w:line="240" w:lineRule="auto"/>
    </w:pPr>
  </w:style>
  <w:style w:type="paragraph" w:customStyle="1" w:styleId="zaczniki">
    <w:name w:val="załączniki"/>
    <w:basedOn w:val="NormalnyWeb"/>
    <w:uiPriority w:val="1"/>
    <w:qFormat/>
    <w:rsid w:val="00960F45"/>
    <w:pPr>
      <w:spacing w:before="840"/>
    </w:pPr>
    <w:rPr>
      <w:rFonts w:ascii="Calibri" w:eastAsia="Times New Roman" w:hAnsi="Calibri" w:cs="Segoe UI"/>
      <w:sz w:val="22"/>
      <w:szCs w:val="22"/>
    </w:rPr>
  </w:style>
  <w:style w:type="paragraph" w:styleId="NormalnyWeb">
    <w:name w:val="Normal (Web)"/>
    <w:basedOn w:val="Normalny"/>
    <w:uiPriority w:val="99"/>
    <w:semiHidden/>
    <w:rsid w:val="00960F45"/>
    <w:rPr>
      <w:rFonts w:ascii="Times New Roman" w:hAnsi="Times New Roman"/>
    </w:rPr>
  </w:style>
  <w:style w:type="paragraph" w:customStyle="1" w:styleId="zacznikilistanumerowana">
    <w:name w:val="załączniki lista numerowana"/>
    <w:basedOn w:val="zaczniki"/>
    <w:uiPriority w:val="1"/>
    <w:qFormat/>
    <w:rsid w:val="00960F45"/>
    <w:pPr>
      <w:numPr>
        <w:numId w:val="1"/>
      </w:numPr>
      <w:spacing w:before="0"/>
    </w:pPr>
  </w:style>
  <w:style w:type="paragraph" w:customStyle="1" w:styleId="listanumerowana">
    <w:name w:val="lista numerowana"/>
    <w:basedOn w:val="waciwatrepisma"/>
    <w:uiPriority w:val="1"/>
    <w:qFormat/>
    <w:rsid w:val="00960F45"/>
    <w:pPr>
      <w:numPr>
        <w:numId w:val="2"/>
      </w:numPr>
      <w:spacing w:before="0"/>
    </w:pPr>
  </w:style>
  <w:style w:type="paragraph" w:customStyle="1" w:styleId="listapunktowana">
    <w:name w:val="lista punktowana"/>
    <w:basedOn w:val="waciwatrepisma"/>
    <w:uiPriority w:val="1"/>
    <w:qFormat/>
    <w:rsid w:val="00960F45"/>
    <w:pPr>
      <w:numPr>
        <w:numId w:val="3"/>
      </w:numPr>
      <w:spacing w:before="0"/>
    </w:pPr>
  </w:style>
  <w:style w:type="paragraph" w:customStyle="1" w:styleId="nagwek20">
    <w:name w:val="nagłówek 2"/>
    <w:basedOn w:val="Nagwek2"/>
    <w:link w:val="nagwek2Znak0"/>
    <w:autoRedefine/>
    <w:uiPriority w:val="1"/>
    <w:qFormat/>
    <w:rsid w:val="004E5EC7"/>
    <w:pPr>
      <w:spacing w:before="360" w:line="240" w:lineRule="auto"/>
    </w:pPr>
    <w:rPr>
      <w:i/>
    </w:rPr>
  </w:style>
  <w:style w:type="character" w:customStyle="1" w:styleId="nagwek2Znak0">
    <w:name w:val="nagłówek 2 Znak"/>
    <w:basedOn w:val="Domylnaczcionkaakapitu"/>
    <w:link w:val="nagwek20"/>
    <w:uiPriority w:val="1"/>
    <w:rsid w:val="004E5EC7"/>
    <w:rPr>
      <w:rFonts w:eastAsiaTheme="majorEastAsia" w:cstheme="majorBidi"/>
      <w:b/>
      <w:bCs/>
      <w:iCs/>
      <w:kern w:val="0"/>
      <w:sz w:val="28"/>
      <w:szCs w:val="28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717C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717C"/>
    <w:rPr>
      <w:rFonts w:asciiTheme="minorHAnsi" w:eastAsiaTheme="majorEastAsia" w:hAnsiTheme="minorHAnsi" w:cstheme="majorBidi"/>
      <w:i/>
      <w:iCs/>
      <w:color w:val="0F4761" w:themeColor="accent1" w:themeShade="BF"/>
      <w:kern w:val="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717C"/>
    <w:rPr>
      <w:rFonts w:asciiTheme="minorHAnsi" w:eastAsiaTheme="majorEastAsia" w:hAnsiTheme="minorHAnsi" w:cstheme="majorBidi"/>
      <w:color w:val="0F4761" w:themeColor="accent1" w:themeShade="BF"/>
      <w:kern w:val="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717C"/>
    <w:rPr>
      <w:rFonts w:asciiTheme="minorHAnsi" w:eastAsiaTheme="majorEastAsia" w:hAnsiTheme="minorHAnsi" w:cstheme="majorBidi"/>
      <w:i/>
      <w:iCs/>
      <w:color w:val="595959" w:themeColor="text1" w:themeTint="A6"/>
      <w:kern w:val="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717C"/>
    <w:rPr>
      <w:rFonts w:asciiTheme="minorHAnsi" w:eastAsiaTheme="majorEastAsia" w:hAnsiTheme="minorHAnsi" w:cstheme="majorBidi"/>
      <w:color w:val="595959" w:themeColor="text1" w:themeTint="A6"/>
      <w:kern w:val="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717C"/>
    <w:rPr>
      <w:rFonts w:asciiTheme="minorHAnsi" w:eastAsiaTheme="majorEastAsia" w:hAnsiTheme="minorHAnsi" w:cstheme="majorBidi"/>
      <w:i/>
      <w:iCs/>
      <w:color w:val="272727" w:themeColor="text1" w:themeTint="D8"/>
      <w:kern w:val="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717C"/>
    <w:rPr>
      <w:rFonts w:asciiTheme="minorHAnsi" w:eastAsiaTheme="majorEastAsia" w:hAnsiTheme="minorHAnsi" w:cstheme="majorBidi"/>
      <w:color w:val="272727" w:themeColor="text1" w:themeTint="D8"/>
      <w:kern w:val="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817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81717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81717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81717C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8171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81717C"/>
    <w:rPr>
      <w:i/>
      <w:iCs/>
      <w:color w:val="404040" w:themeColor="text1" w:themeTint="BF"/>
      <w:kern w:val="0"/>
      <w:lang w:eastAsia="pl-PL"/>
      <w14:ligatures w14:val="none"/>
    </w:rPr>
  </w:style>
  <w:style w:type="character" w:styleId="Wyrnienieintensywne">
    <w:name w:val="Intense Emphasis"/>
    <w:basedOn w:val="Domylnaczcionkaakapitu"/>
    <w:uiPriority w:val="21"/>
    <w:semiHidden/>
    <w:qFormat/>
    <w:rsid w:val="008171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qFormat/>
    <w:rsid w:val="00817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81717C"/>
    <w:rPr>
      <w:i/>
      <w:iCs/>
      <w:color w:val="0F4761" w:themeColor="accent1" w:themeShade="BF"/>
      <w:kern w:val="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semiHidden/>
    <w:qFormat/>
    <w:rsid w:val="008171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8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587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wystawa S. Treister_opis przestrzeni</dc:title>
  <dc:subject/>
  <dc:creator>Izabela Wojtyczka</dc:creator>
  <cp:keywords/>
  <dc:description/>
  <cp:lastModifiedBy>Izabela Wojtyczka</cp:lastModifiedBy>
  <cp:revision>5</cp:revision>
  <dcterms:created xsi:type="dcterms:W3CDTF">2026-10-06T12:10:00Z</dcterms:created>
  <dcterms:modified xsi:type="dcterms:W3CDTF">2026-10-06T13:16:00Z</dcterms:modified>
</cp:coreProperties>
</file>