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38916" w14:textId="52EF104E" w:rsidR="00BC3486" w:rsidRPr="00BC3486" w:rsidRDefault="00BC3486" w:rsidP="00BC3486">
      <w:pPr>
        <w:pStyle w:val="Nagwek2"/>
        <w:rPr>
          <w:rFonts w:ascii="United Sans Cd Lt" w:hAnsi="United Sans Cd Lt"/>
        </w:rPr>
      </w:pPr>
      <w:r w:rsidRPr="00BC3486">
        <w:rPr>
          <w:rFonts w:ascii="United Sans Cd Lt" w:hAnsi="United Sans Cd Lt"/>
        </w:rPr>
        <w:t>Dostępność wystawy</w:t>
      </w:r>
    </w:p>
    <w:p w14:paraId="3EFAB2DA" w14:textId="0DD20D6C" w:rsidR="00BC3486" w:rsidRDefault="00CC5114" w:rsidP="00BC3486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>Po</w:t>
      </w:r>
      <w:r w:rsidR="00BC3486">
        <w:rPr>
          <w:rFonts w:ascii="United Sans Cd Lt" w:eastAsia="Times New Roman" w:hAnsi="United Sans Cd Lt" w:cs="Times New Roman"/>
          <w:sz w:val="24"/>
          <w:szCs w:val="24"/>
        </w:rPr>
        <w:t xml:space="preserve"> wejściu do galerii, po lewej stronie znajduje się czarna ramka</w:t>
      </w:r>
      <w:r w:rsidR="00267303">
        <w:rPr>
          <w:rFonts w:ascii="United Sans Cd Lt" w:eastAsia="Times New Roman" w:hAnsi="United Sans Cd Lt" w:cs="Times New Roman"/>
          <w:sz w:val="24"/>
          <w:szCs w:val="24"/>
        </w:rPr>
        <w:t xml:space="preserve"> z </w:t>
      </w:r>
      <w:r w:rsidR="00BC3486">
        <w:rPr>
          <w:rFonts w:ascii="United Sans Cd Lt" w:eastAsia="Times New Roman" w:hAnsi="United Sans Cd Lt" w:cs="Times New Roman"/>
          <w:sz w:val="24"/>
          <w:szCs w:val="24"/>
        </w:rPr>
        <w:t>informacj</w:t>
      </w:r>
      <w:r w:rsidR="00267303">
        <w:rPr>
          <w:rFonts w:ascii="United Sans Cd Lt" w:eastAsia="Times New Roman" w:hAnsi="United Sans Cd Lt" w:cs="Times New Roman"/>
          <w:sz w:val="24"/>
          <w:szCs w:val="24"/>
        </w:rPr>
        <w:t>ami</w:t>
      </w:r>
      <w:r w:rsidR="00BC3486">
        <w:rPr>
          <w:rFonts w:ascii="United Sans Cd Lt" w:eastAsia="Times New Roman" w:hAnsi="United Sans Cd Lt" w:cs="Times New Roman"/>
          <w:sz w:val="24"/>
          <w:szCs w:val="24"/>
        </w:rPr>
        <w:t xml:space="preserve"> o wystawie w języku Braille’a </w:t>
      </w:r>
      <w:r w:rsidR="00267303">
        <w:rPr>
          <w:rFonts w:ascii="United Sans Cd Lt" w:eastAsia="Times New Roman" w:hAnsi="United Sans Cd Lt" w:cs="Times New Roman"/>
          <w:sz w:val="24"/>
          <w:szCs w:val="24"/>
        </w:rPr>
        <w:t>i</w:t>
      </w:r>
      <w:r w:rsidR="00BC3486">
        <w:rPr>
          <w:rFonts w:ascii="United Sans Cd Lt" w:eastAsia="Times New Roman" w:hAnsi="United Sans Cd Lt" w:cs="Times New Roman"/>
          <w:sz w:val="24"/>
          <w:szCs w:val="24"/>
        </w:rPr>
        <w:t xml:space="preserve"> kod QR</w:t>
      </w:r>
      <w:r w:rsidR="00267303">
        <w:rPr>
          <w:rFonts w:ascii="United Sans Cd Lt" w:eastAsia="Times New Roman" w:hAnsi="United Sans Cd Lt" w:cs="Times New Roman"/>
          <w:sz w:val="24"/>
          <w:szCs w:val="24"/>
        </w:rPr>
        <w:t xml:space="preserve"> kierujący do: </w:t>
      </w:r>
    </w:p>
    <w:p w14:paraId="1F85C9B2" w14:textId="6183AFDC" w:rsidR="00BC3486" w:rsidRDefault="00BC3486" w:rsidP="00BC3486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 xml:space="preserve">- </w:t>
      </w:r>
      <w:proofErr w:type="spellStart"/>
      <w:r>
        <w:rPr>
          <w:rFonts w:ascii="United Sans Cd Lt" w:eastAsia="Times New Roman" w:hAnsi="United Sans Cd Lt" w:cs="Times New Roman"/>
          <w:sz w:val="24"/>
          <w:szCs w:val="24"/>
        </w:rPr>
        <w:t>audiodeskrypcji</w:t>
      </w:r>
      <w:proofErr w:type="spellEnd"/>
      <w:r>
        <w:rPr>
          <w:rFonts w:ascii="United Sans Cd Lt" w:eastAsia="Times New Roman" w:hAnsi="United Sans Cd Lt" w:cs="Times New Roman"/>
          <w:sz w:val="24"/>
          <w:szCs w:val="24"/>
        </w:rPr>
        <w:t xml:space="preserve">, filmów w PJM i infografik </w:t>
      </w:r>
      <w:r w:rsidR="00431249">
        <w:rPr>
          <w:rFonts w:ascii="United Sans Cd Lt" w:eastAsia="Times New Roman" w:hAnsi="United Sans Cd Lt" w:cs="Times New Roman"/>
          <w:sz w:val="24"/>
          <w:szCs w:val="24"/>
        </w:rPr>
        <w:t>2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 prac z wystawy umieszczonych w portalu Zasoby </w:t>
      </w:r>
    </w:p>
    <w:p w14:paraId="54447844" w14:textId="5C2B00A1" w:rsidR="00BC3486" w:rsidRDefault="00BC3486" w:rsidP="00BC3486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>- deskrypcj</w:t>
      </w:r>
      <w:r w:rsidR="00267303">
        <w:rPr>
          <w:rFonts w:ascii="United Sans Cd Lt" w:eastAsia="Times New Roman" w:hAnsi="United Sans Cd Lt" w:cs="Times New Roman"/>
          <w:sz w:val="24"/>
          <w:szCs w:val="24"/>
        </w:rPr>
        <w:t>i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 3 </w:t>
      </w:r>
      <w:proofErr w:type="spellStart"/>
      <w:r>
        <w:rPr>
          <w:rFonts w:ascii="United Sans Cd Lt" w:eastAsia="Times New Roman" w:hAnsi="United Sans Cd Lt" w:cs="Times New Roman"/>
          <w:sz w:val="24"/>
          <w:szCs w:val="24"/>
        </w:rPr>
        <w:t>tyflografik</w:t>
      </w:r>
      <w:proofErr w:type="spellEnd"/>
      <w:r>
        <w:rPr>
          <w:rFonts w:ascii="United Sans Cd Lt" w:eastAsia="Times New Roman" w:hAnsi="United Sans Cd Lt" w:cs="Times New Roman"/>
          <w:sz w:val="24"/>
          <w:szCs w:val="24"/>
        </w:rPr>
        <w:t xml:space="preserve"> </w:t>
      </w:r>
      <w:r w:rsidR="00267303">
        <w:rPr>
          <w:rFonts w:ascii="United Sans Cd Lt" w:eastAsia="Times New Roman" w:hAnsi="United Sans Cd Lt" w:cs="Times New Roman"/>
          <w:sz w:val="24"/>
          <w:szCs w:val="24"/>
        </w:rPr>
        <w:t>umieszczonych w przestrzeni wystawy</w:t>
      </w:r>
    </w:p>
    <w:p w14:paraId="78C41526" w14:textId="779062CE" w:rsidR="00267303" w:rsidRDefault="00267303" w:rsidP="00BC3486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>- tekstu kuratorskiego w języku prostym</w:t>
      </w:r>
    </w:p>
    <w:p w14:paraId="792B7BF5" w14:textId="46D4272E" w:rsidR="00267303" w:rsidRDefault="00267303" w:rsidP="00BC3486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>- opisu ogólnego wystawy.</w:t>
      </w:r>
    </w:p>
    <w:p w14:paraId="7291E1A5" w14:textId="61D1022B" w:rsidR="00267303" w:rsidRDefault="00267303" w:rsidP="00E17FEF">
      <w:pPr>
        <w:spacing w:before="100" w:beforeAutospacing="1" w:after="600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 xml:space="preserve">Obok ramki z tekstem w języku Braille’a jest </w:t>
      </w:r>
      <w:proofErr w:type="spellStart"/>
      <w:r>
        <w:rPr>
          <w:rFonts w:ascii="United Sans Cd Lt" w:eastAsia="Times New Roman" w:hAnsi="United Sans Cd Lt" w:cs="Times New Roman"/>
          <w:sz w:val="24"/>
          <w:szCs w:val="24"/>
        </w:rPr>
        <w:t>tyfloplan</w:t>
      </w:r>
      <w:proofErr w:type="spellEnd"/>
      <w:r>
        <w:rPr>
          <w:rFonts w:ascii="United Sans Cd Lt" w:eastAsia="Times New Roman" w:hAnsi="United Sans Cd Lt" w:cs="Times New Roman"/>
          <w:sz w:val="24"/>
          <w:szCs w:val="24"/>
        </w:rPr>
        <w:t xml:space="preserve"> przestrzeni galerii.</w:t>
      </w:r>
    </w:p>
    <w:p w14:paraId="7708757A" w14:textId="72F5B740" w:rsidR="00BC3486" w:rsidRPr="00E17FEF" w:rsidRDefault="00BC3486" w:rsidP="00E17FEF">
      <w:pPr>
        <w:pStyle w:val="Nagwek3"/>
      </w:pPr>
      <w:proofErr w:type="spellStart"/>
      <w:r w:rsidRPr="00E17FEF">
        <w:t>Audiodeskrypcje</w:t>
      </w:r>
      <w:proofErr w:type="spellEnd"/>
      <w:r w:rsidRPr="00E17FEF">
        <w:t>:</w:t>
      </w:r>
    </w:p>
    <w:p w14:paraId="5784032A" w14:textId="4BC5F406" w:rsidR="00267303" w:rsidRDefault="00ED6A0A" w:rsidP="00ED6A0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 xml:space="preserve">KOMPOZYCJA PRZESTRZENNA (9), autorka: Katarzyna Kobro </w:t>
      </w:r>
      <w:hyperlink r:id="rId5" w:history="1">
        <w:r w:rsidR="006059CC" w:rsidRPr="00194B5E">
          <w:rPr>
            <w:rStyle w:val="Hipercze"/>
            <w:rFonts w:ascii="United Sans Cd Lt" w:eastAsia="Times New Roman" w:hAnsi="United Sans Cd Lt" w:cs="Times New Roman"/>
            <w:sz w:val="24"/>
            <w:szCs w:val="24"/>
          </w:rPr>
          <w:t>https://zasoby.ms</w:t>
        </w:r>
        <w:r w:rsidR="006059CC" w:rsidRPr="00194B5E">
          <w:rPr>
            <w:rStyle w:val="Hipercze"/>
            <w:rFonts w:ascii="United Sans Cd Lt" w:eastAsia="Times New Roman" w:hAnsi="United Sans Cd Lt" w:cs="Times New Roman"/>
            <w:sz w:val="24"/>
            <w:szCs w:val="24"/>
          </w:rPr>
          <w:t>l</w:t>
        </w:r>
        <w:r w:rsidR="006059CC" w:rsidRPr="00194B5E">
          <w:rPr>
            <w:rStyle w:val="Hipercze"/>
            <w:rFonts w:ascii="United Sans Cd Lt" w:eastAsia="Times New Roman" w:hAnsi="United Sans Cd Lt" w:cs="Times New Roman"/>
            <w:sz w:val="24"/>
            <w:szCs w:val="24"/>
          </w:rPr>
          <w:t>.org.pl/arts/view/181</w:t>
        </w:r>
      </w:hyperlink>
    </w:p>
    <w:p w14:paraId="03705BC9" w14:textId="23F2CBAC" w:rsidR="006059CC" w:rsidRPr="00ED6A0A" w:rsidRDefault="006059CC" w:rsidP="00ED6A0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>PEJZAŻ – CHAŁUPY, autor: Władysław Strzemiński</w:t>
      </w:r>
      <w:r w:rsidR="00B85AFE">
        <w:rPr>
          <w:rFonts w:ascii="United Sans Cd Lt" w:eastAsia="Times New Roman" w:hAnsi="United Sans Cd Lt" w:cs="Times New Roman"/>
          <w:sz w:val="24"/>
          <w:szCs w:val="24"/>
        </w:rPr>
        <w:t xml:space="preserve"> </w:t>
      </w:r>
      <w:hyperlink r:id="rId6" w:history="1">
        <w:r w:rsidR="00B85AFE" w:rsidRPr="00194B5E">
          <w:rPr>
            <w:rStyle w:val="Hipercze"/>
            <w:rFonts w:ascii="United Sans Cd Lt" w:eastAsia="Times New Roman" w:hAnsi="United Sans Cd Lt" w:cs="Times New Roman"/>
            <w:sz w:val="24"/>
            <w:szCs w:val="24"/>
          </w:rPr>
          <w:t>https://zasoby</w:t>
        </w:r>
        <w:r w:rsidR="00B85AFE" w:rsidRPr="00194B5E">
          <w:rPr>
            <w:rStyle w:val="Hipercze"/>
            <w:rFonts w:ascii="United Sans Cd Lt" w:eastAsia="Times New Roman" w:hAnsi="United Sans Cd Lt" w:cs="Times New Roman"/>
            <w:sz w:val="24"/>
            <w:szCs w:val="24"/>
          </w:rPr>
          <w:t>.</w:t>
        </w:r>
        <w:r w:rsidR="00B85AFE" w:rsidRPr="00194B5E">
          <w:rPr>
            <w:rStyle w:val="Hipercze"/>
            <w:rFonts w:ascii="United Sans Cd Lt" w:eastAsia="Times New Roman" w:hAnsi="United Sans Cd Lt" w:cs="Times New Roman"/>
            <w:sz w:val="24"/>
            <w:szCs w:val="24"/>
          </w:rPr>
          <w:t>msl.org.pl/arts/view/12495</w:t>
        </w:r>
      </w:hyperlink>
      <w:r w:rsidR="00B85AFE">
        <w:rPr>
          <w:rFonts w:ascii="United Sans Cd Lt" w:eastAsia="Times New Roman" w:hAnsi="United Sans Cd Lt" w:cs="Times New Roman"/>
          <w:sz w:val="24"/>
          <w:szCs w:val="24"/>
        </w:rPr>
        <w:t xml:space="preserve"> </w:t>
      </w:r>
    </w:p>
    <w:p w14:paraId="62ED8A39" w14:textId="1674B588" w:rsidR="00BC3486" w:rsidRDefault="00BC3486" w:rsidP="00E17FEF">
      <w:pPr>
        <w:pStyle w:val="Nagwek3"/>
        <w:spacing w:before="240"/>
      </w:pPr>
      <w:r>
        <w:t>Tyflografiki:</w:t>
      </w:r>
    </w:p>
    <w:p w14:paraId="1664D2E3" w14:textId="375C9695" w:rsidR="00BC3486" w:rsidRDefault="003E5A39" w:rsidP="003E5A3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  <w:lang w:val="en-GB"/>
        </w:rPr>
      </w:pPr>
      <w:r w:rsidRPr="003E5A39">
        <w:rPr>
          <w:rFonts w:ascii="United Sans Cd Lt" w:eastAsia="Times New Roman" w:hAnsi="United Sans Cd Lt" w:cs="Times New Roman"/>
          <w:sz w:val="24"/>
          <w:szCs w:val="24"/>
          <w:lang w:val="en-GB"/>
        </w:rPr>
        <w:t xml:space="preserve">BLUE WINTER, </w:t>
      </w:r>
      <w:proofErr w:type="spellStart"/>
      <w:r w:rsidRPr="003E5A39">
        <w:rPr>
          <w:rFonts w:ascii="United Sans Cd Lt" w:eastAsia="Times New Roman" w:hAnsi="United Sans Cd Lt" w:cs="Times New Roman"/>
          <w:sz w:val="24"/>
          <w:szCs w:val="24"/>
          <w:lang w:val="en-GB"/>
        </w:rPr>
        <w:t>auto</w:t>
      </w:r>
      <w:r>
        <w:rPr>
          <w:rFonts w:ascii="United Sans Cd Lt" w:eastAsia="Times New Roman" w:hAnsi="United Sans Cd Lt" w:cs="Times New Roman"/>
          <w:sz w:val="24"/>
          <w:szCs w:val="24"/>
          <w:lang w:val="en-GB"/>
        </w:rPr>
        <w:t>r</w:t>
      </w:r>
      <w:proofErr w:type="spellEnd"/>
      <w:r w:rsidRPr="003E5A39">
        <w:rPr>
          <w:rFonts w:ascii="United Sans Cd Lt" w:eastAsia="Times New Roman" w:hAnsi="United Sans Cd Lt" w:cs="Times New Roman"/>
          <w:sz w:val="24"/>
          <w:szCs w:val="24"/>
          <w:lang w:val="en-GB"/>
        </w:rPr>
        <w:t>: Sir T</w:t>
      </w:r>
      <w:r>
        <w:rPr>
          <w:rFonts w:ascii="United Sans Cd Lt" w:eastAsia="Times New Roman" w:hAnsi="United Sans Cd Lt" w:cs="Times New Roman"/>
          <w:sz w:val="24"/>
          <w:szCs w:val="24"/>
          <w:lang w:val="en-GB"/>
        </w:rPr>
        <w:t>erry Frost</w:t>
      </w:r>
    </w:p>
    <w:p w14:paraId="6B6E8FE5" w14:textId="79B84521" w:rsidR="003E5A39" w:rsidRDefault="003E5A39" w:rsidP="003E5A3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  <w:lang w:val="en-GB"/>
        </w:rPr>
      </w:pPr>
      <w:r>
        <w:rPr>
          <w:rFonts w:ascii="United Sans Cd Lt" w:eastAsia="Times New Roman" w:hAnsi="United Sans Cd Lt" w:cs="Times New Roman"/>
          <w:sz w:val="24"/>
          <w:szCs w:val="24"/>
          <w:lang w:val="en-GB"/>
        </w:rPr>
        <w:t xml:space="preserve">BLUE PAINTING WITH DISCS, </w:t>
      </w:r>
      <w:proofErr w:type="spellStart"/>
      <w:r>
        <w:rPr>
          <w:rFonts w:ascii="United Sans Cd Lt" w:eastAsia="Times New Roman" w:hAnsi="United Sans Cd Lt" w:cs="Times New Roman"/>
          <w:sz w:val="24"/>
          <w:szCs w:val="24"/>
          <w:lang w:val="en-GB"/>
        </w:rPr>
        <w:t>autor</w:t>
      </w:r>
      <w:proofErr w:type="spellEnd"/>
      <w:r>
        <w:rPr>
          <w:rFonts w:ascii="United Sans Cd Lt" w:eastAsia="Times New Roman" w:hAnsi="United Sans Cd Lt" w:cs="Times New Roman"/>
          <w:sz w:val="24"/>
          <w:szCs w:val="24"/>
          <w:lang w:val="en-GB"/>
        </w:rPr>
        <w:t xml:space="preserve">: </w:t>
      </w:r>
      <w:proofErr w:type="spellStart"/>
      <w:r>
        <w:rPr>
          <w:rFonts w:ascii="United Sans Cd Lt" w:eastAsia="Times New Roman" w:hAnsi="United Sans Cd Lt" w:cs="Times New Roman"/>
          <w:sz w:val="24"/>
          <w:szCs w:val="24"/>
          <w:lang w:val="en-GB"/>
        </w:rPr>
        <w:t>Ratric</w:t>
      </w:r>
      <w:proofErr w:type="spellEnd"/>
      <w:r>
        <w:rPr>
          <w:rFonts w:ascii="United Sans Cd Lt" w:eastAsia="Times New Roman" w:hAnsi="United Sans Cd Lt" w:cs="Times New Roman"/>
          <w:sz w:val="24"/>
          <w:szCs w:val="24"/>
          <w:lang w:val="en-GB"/>
        </w:rPr>
        <w:t xml:space="preserve"> Heron</w:t>
      </w:r>
    </w:p>
    <w:p w14:paraId="2D410464" w14:textId="7F0BE28D" w:rsidR="003E5A39" w:rsidRPr="003E5A39" w:rsidRDefault="003E5A39" w:rsidP="003E5A3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3E5A39">
        <w:rPr>
          <w:rFonts w:ascii="United Sans Cd Lt" w:eastAsia="Times New Roman" w:hAnsi="United Sans Cd Lt" w:cs="Times New Roman"/>
          <w:sz w:val="24"/>
          <w:szCs w:val="24"/>
        </w:rPr>
        <w:t>PEJZAŻ MORSKI W DESZCZU, a</w:t>
      </w:r>
      <w:r>
        <w:rPr>
          <w:rFonts w:ascii="United Sans Cd Lt" w:eastAsia="Times New Roman" w:hAnsi="United Sans Cd Lt" w:cs="Times New Roman"/>
          <w:sz w:val="24"/>
          <w:szCs w:val="24"/>
        </w:rPr>
        <w:t>utor: Władysław Strzemiński</w:t>
      </w:r>
    </w:p>
    <w:p w14:paraId="196C68D8" w14:textId="342746B9" w:rsidR="00BC3486" w:rsidRDefault="00E17FEF" w:rsidP="00E17FEF">
      <w:pPr>
        <w:pStyle w:val="Nagwek3"/>
        <w:spacing w:before="360"/>
      </w:pPr>
      <w:r>
        <w:t xml:space="preserve">Deskrypcje do </w:t>
      </w:r>
      <w:proofErr w:type="spellStart"/>
      <w:r>
        <w:t>tyflografik</w:t>
      </w:r>
      <w:proofErr w:type="spellEnd"/>
      <w:r>
        <w:t>:</w:t>
      </w:r>
    </w:p>
    <w:p w14:paraId="79294F45" w14:textId="77777777" w:rsidR="00E17FEF" w:rsidRPr="00E17FEF" w:rsidRDefault="00E17FEF" w:rsidP="00E17FEF">
      <w:pPr>
        <w:spacing w:before="240" w:after="100" w:afterAutospacing="1" w:line="240" w:lineRule="auto"/>
        <w:rPr>
          <w:rFonts w:ascii="United Sans Cd Lt" w:eastAsia="Times New Roman" w:hAnsi="United Sans Cd Lt" w:cs="Times New Roman"/>
          <w:b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b/>
          <w:sz w:val="24"/>
          <w:szCs w:val="24"/>
        </w:rPr>
        <w:t xml:space="preserve">Sir </w:t>
      </w:r>
      <w:proofErr w:type="spellStart"/>
      <w:r w:rsidRPr="00E17FEF">
        <w:rPr>
          <w:rFonts w:ascii="United Sans Cd Lt" w:eastAsia="Times New Roman" w:hAnsi="United Sans Cd Lt" w:cs="Times New Roman"/>
          <w:b/>
          <w:sz w:val="24"/>
          <w:szCs w:val="24"/>
        </w:rPr>
        <w:t>Terry</w:t>
      </w:r>
      <w:proofErr w:type="spellEnd"/>
      <w:r w:rsidRPr="00E17FEF">
        <w:rPr>
          <w:rFonts w:ascii="United Sans Cd Lt" w:eastAsia="Times New Roman" w:hAnsi="United Sans Cd Lt" w:cs="Times New Roman"/>
          <w:b/>
          <w:sz w:val="24"/>
          <w:szCs w:val="24"/>
        </w:rPr>
        <w:t xml:space="preserve"> Frost (1915-2003) / BLUE WINTER</w:t>
      </w:r>
    </w:p>
    <w:p w14:paraId="7F4A3178" w14:textId="49CF8EA0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olej na płycie pilśniowej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;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>121 x 190,5 cm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;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>rok powstania dzieła: 1956</w:t>
      </w:r>
    </w:p>
    <w:p w14:paraId="7AB3D17A" w14:textId="77777777" w:rsidR="00E17FEF" w:rsidRPr="00E17FEF" w:rsidRDefault="00E17FEF" w:rsidP="00E17FEF">
      <w:pPr>
        <w:spacing w:before="360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Dominującą kolorystyką obrazu są szarość i błękit. Głównym tematem – pejzaż. Pozioma kompozycja pracy jest zbudowana z 2 pasów. Górna część jest lżejsza, nieco delikatniejsza. Dolny pas jest poszatkowany pionowymi, czarnymi liniami. </w:t>
      </w:r>
    </w:p>
    <w:p w14:paraId="5F783F43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Na pierwszy plan wysuwa się pas dolny. Sprawia wrażenie dominującego, posiada gęstszą fakturę. Z lewej strony jasnoniebieskie tło poprzecinane jest gęsto pionowymi ciemnymi liniami. Mniej więcej w środku tego pola płaszczyznę dzieli pionowy, wąski pomarańczowy pas. W pobliżu lewej krawędzi od dołu biegnie ciemnoniebieski klin. Prawa część dolnego pasa jest bardziej jednorodna. Większą część zajmuje jednolita granatowa plama w kształcie prostokąta. Skrajna prawa część, to szara płaszczyzna poprzecinana pionowymi liniami. Górny poziomy pas jest bardziej jednolity. Tworzą go pionowe naprzemianległe powierzchnie brudnej bieli i koloru błękitnego. W lewej części, mniej więcej nad pomarańczową linią z pasa dolnego, znajduje się żółty klin rozdzielający szare powierzchnie. </w:t>
      </w:r>
    </w:p>
    <w:p w14:paraId="177926BF" w14:textId="3A9F6971" w:rsidR="00E17FEF" w:rsidRPr="00E17FEF" w:rsidRDefault="00E17FEF" w:rsidP="00E17FEF">
      <w:pPr>
        <w:spacing w:before="100" w:beforeAutospacing="1" w:after="360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Uwagę zwracają 4 łuki umieszczone na granicy dwóch poziomych płaszczyzn. Trzy z nich, wygięte ku górze, rozmieszczone są równomiernie wzdłuż poziomej granicy. Przypominają kopce. Czwarty, wklęsły – znajduje się z prawej strony, pod łukiem wypukłym. </w:t>
      </w:r>
    </w:p>
    <w:p w14:paraId="1DD01B78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b/>
          <w:sz w:val="24"/>
          <w:szCs w:val="24"/>
          <w:lang w:val="en-US"/>
        </w:rPr>
      </w:pPr>
      <w:r w:rsidRPr="00E17FEF">
        <w:rPr>
          <w:rFonts w:ascii="United Sans Cd Lt" w:eastAsia="Times New Roman" w:hAnsi="United Sans Cd Lt" w:cs="Times New Roman"/>
          <w:b/>
          <w:sz w:val="24"/>
          <w:szCs w:val="24"/>
          <w:lang w:val="en-US"/>
        </w:rPr>
        <w:t>Patrick Heron (1920-1999) / BLUE PAINTING WITH DISCS: SEPTEMBER</w:t>
      </w:r>
    </w:p>
    <w:p w14:paraId="099AF952" w14:textId="5D853A2D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olej na płótnie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;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>122 x 96,5 cm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;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>rok powstania dzieła: 1962</w:t>
      </w:r>
    </w:p>
    <w:p w14:paraId="3D3E7012" w14:textId="2EFCEDCC" w:rsidR="00E17FEF" w:rsidRPr="00E17FEF" w:rsidRDefault="00E17FEF" w:rsidP="0064560F">
      <w:pPr>
        <w:spacing w:before="360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Obraz olejny w układzie poziomym. Kompozycja złożona z kilku figur geometrycznych wypełnionych kolorem.</w:t>
      </w:r>
      <w:r w:rsidR="0064560F">
        <w:rPr>
          <w:rFonts w:ascii="United Sans Cd Lt" w:eastAsia="Times New Roman" w:hAnsi="United Sans Cd Lt" w:cs="Times New Roman"/>
          <w:sz w:val="24"/>
          <w:szCs w:val="24"/>
        </w:rPr>
        <w:t xml:space="preserve">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Na ciemnogranatowym tle uwagę zwraca pomarańczowy, podłużny kształt. Zajmuje on niemal ¼ całej kompozycji, umieszczony jest równolegle do dolnej krawędzi, prawie przylega do lewego boku. Krawędzie tego kształtu są nierówne, poszarpane, z wyraźnymi śladami pędzla. Pomarańczowa forma lekko rozszerza się w prawą stronę, nie dochodzi do prawej krawędzi. Na tym pomarańczowym tle namalowano 4 szaroniebieskie koła.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lastRenderedPageBreak/>
        <w:t xml:space="preserve">Dwa pierwsze z lewej są mniejsze, dwa kolejne są nieco większe. Koło trzecie od lewej ma jednolity kolor, przez pozostałe prześwituje pomarańczowe tło. </w:t>
      </w:r>
    </w:p>
    <w:p w14:paraId="1F5E45F9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Kolejnym dominującym elementem obrazu jest błękitny prostokąt. Zwisa w środkowej części obrazu z górnej krawędzi i sięga niemal do ¾ wysokości, prawie dotykając pomarańczowego kształtu w dolnej części. Błękitne tło posiada ślady pociągnięć pędzla, ma nierówne krawędzie. W prawej górnej części tego pola namalowano szaroniebieskie, nieprzeźroczyste koło.</w:t>
      </w:r>
    </w:p>
    <w:p w14:paraId="7EAF165A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W lewej górnej ćwiartce, po lewej stronie błękitnego prostokąta, umieszczono kolejne koło. Jest ono granatowe, jednolicie wypełnione kolorem. Z prawej strony błękitnego prostokąta, od górnej krawędzi namalowano kilka mniejszych figur geometrycznych. Zajmują one wysokość porównywalną z prostokątem. Kolejno od góry są to: </w:t>
      </w:r>
    </w:p>
    <w:p w14:paraId="1DF9840B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- granatowy prostokąt, lekko przeźroczysty, słabo odcinający się od tła</w:t>
      </w:r>
    </w:p>
    <w:p w14:paraId="084B4B87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- ciemnogranatowy, wąski, poziomy prostokąt</w:t>
      </w:r>
    </w:p>
    <w:p w14:paraId="4B9D2FFE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- błękitne koło</w:t>
      </w:r>
    </w:p>
    <w:p w14:paraId="6846F4B8" w14:textId="77777777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- ciemnogranatowy, wąski, poziomy prostokąt.</w:t>
      </w:r>
    </w:p>
    <w:p w14:paraId="49445DE4" w14:textId="77777777" w:rsidR="00E17FEF" w:rsidRPr="00E17FEF" w:rsidRDefault="00E17FEF" w:rsidP="00E17FEF">
      <w:pPr>
        <w:spacing w:before="360" w:after="100" w:afterAutospacing="1" w:line="240" w:lineRule="auto"/>
        <w:rPr>
          <w:rFonts w:ascii="United Sans Cd Lt" w:eastAsia="Times New Roman" w:hAnsi="United Sans Cd Lt" w:cs="Times New Roman"/>
          <w:b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b/>
          <w:sz w:val="24"/>
          <w:szCs w:val="24"/>
        </w:rPr>
        <w:t>Władysław Strzemiński / Pejzaż morski w deszczu</w:t>
      </w:r>
    </w:p>
    <w:p w14:paraId="42EE4F55" w14:textId="67994353" w:rsidR="00E17FEF" w:rsidRPr="00E17FEF" w:rsidRDefault="00E17FE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tempera, tektura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,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>20 x 25 cm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, 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>rok powstania dzieła: 1933</w:t>
      </w:r>
    </w:p>
    <w:p w14:paraId="41B0E24E" w14:textId="1114B183" w:rsidR="00E17FEF" w:rsidRPr="00E17FEF" w:rsidRDefault="00E17FEF" w:rsidP="00E17FEF">
      <w:pPr>
        <w:spacing w:before="360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>Kompozycja w poziomie zbudowana z nieregularnych figur. Obraz utrzymany w tonacji szarozielonej. Kształty w górnej i dolej części obrazu wypełnione są płaską plamą. W lewej części beżową i szaroniebieską, w prawej części szarą. Plama dolna ma kolor szarozielony. Pola figur z części środkowej mają fakturę przypominającą łuskę, ale różne kolory. Od brązowego w dolnej części, przez szaroniebieski w</w:t>
      </w:r>
      <w:r w:rsidR="00431249">
        <w:rPr>
          <w:rFonts w:ascii="Calibri" w:eastAsia="Times New Roman" w:hAnsi="Calibri" w:cs="Calibri"/>
          <w:sz w:val="24"/>
          <w:szCs w:val="24"/>
        </w:rPr>
        <w:t> </w:t>
      </w:r>
      <w:r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środkowej – po zielony w górnej części. Po całej powierzchni obrazu wije się falista czarno-biała linia. Głównym tematem pracy jest pejzaż morski. </w:t>
      </w:r>
    </w:p>
    <w:p w14:paraId="24CB9200" w14:textId="6F9CEF97" w:rsidR="0064560F" w:rsidRPr="00BC3486" w:rsidRDefault="00E17FEF" w:rsidP="0064560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W latach 1932–1934 artysta stworzył kilkanaście prac zatytułowanych „Pejzaż morski". Strzemiński wraz z rodziną spędzał wtedy cyklicznie wakacje na Półwyspie Helskim. </w:t>
      </w:r>
      <w:r w:rsidR="0064560F" w:rsidRPr="00E17FEF">
        <w:rPr>
          <w:rFonts w:ascii="United Sans Cd Lt" w:eastAsia="Times New Roman" w:hAnsi="United Sans Cd Lt" w:cs="Times New Roman"/>
          <w:sz w:val="24"/>
          <w:szCs w:val="24"/>
        </w:rPr>
        <w:t>„Pejzaże morskie" były dla artysty sposobem badania „rytmów natury”, ale odnosiły się też do problematyki widzenia. Dzieła te opierają się na syntetycznych obliczeniach matematycznych, sprawdzających pracę oka i widzenie bezpośrednie. Dają one jednak wrażenie ruchu fal i mogą być odbierane jako abstrakcja.</w:t>
      </w:r>
    </w:p>
    <w:p w14:paraId="39E6AE97" w14:textId="04F2EE57" w:rsidR="00E17FEF" w:rsidRPr="00E17FEF" w:rsidRDefault="0064560F" w:rsidP="00E17FEF">
      <w:pPr>
        <w:spacing w:before="100" w:beforeAutospacing="1" w:after="100" w:afterAutospacing="1" w:line="240" w:lineRule="auto"/>
        <w:rPr>
          <w:rFonts w:ascii="United Sans Cd Lt" w:eastAsia="Times New Roman" w:hAnsi="United Sans Cd Lt" w:cs="Times New Roman"/>
          <w:sz w:val="24"/>
          <w:szCs w:val="24"/>
        </w:rPr>
      </w:pPr>
      <w:r>
        <w:rPr>
          <w:rFonts w:ascii="United Sans Cd Lt" w:eastAsia="Times New Roman" w:hAnsi="United Sans Cd Lt" w:cs="Times New Roman"/>
          <w:sz w:val="24"/>
          <w:szCs w:val="24"/>
        </w:rPr>
        <w:t>Prace w cyklu „Pejzaże morskie”</w:t>
      </w:r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 malowane są temperami na niewielkich kartonach. </w:t>
      </w:r>
      <w:r>
        <w:rPr>
          <w:rFonts w:ascii="United Sans Cd Lt" w:eastAsia="Times New Roman" w:hAnsi="United Sans Cd Lt" w:cs="Times New Roman"/>
          <w:sz w:val="24"/>
          <w:szCs w:val="24"/>
        </w:rPr>
        <w:t>S</w:t>
      </w:r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ą 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to </w:t>
      </w:r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>impresyjn</w:t>
      </w:r>
      <w:r>
        <w:rPr>
          <w:rFonts w:ascii="United Sans Cd Lt" w:eastAsia="Times New Roman" w:hAnsi="United Sans Cd Lt" w:cs="Times New Roman"/>
          <w:sz w:val="24"/>
          <w:szCs w:val="24"/>
        </w:rPr>
        <w:t>e</w:t>
      </w:r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 zapis</w:t>
      </w:r>
      <w:r>
        <w:rPr>
          <w:rFonts w:ascii="United Sans Cd Lt" w:eastAsia="Times New Roman" w:hAnsi="United Sans Cd Lt" w:cs="Times New Roman"/>
          <w:sz w:val="24"/>
          <w:szCs w:val="24"/>
        </w:rPr>
        <w:t>y</w:t>
      </w:r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 krajobrazu i często </w:t>
      </w:r>
      <w:r>
        <w:rPr>
          <w:rFonts w:ascii="United Sans Cd Lt" w:eastAsia="Times New Roman" w:hAnsi="United Sans Cd Lt" w:cs="Times New Roman"/>
          <w:sz w:val="24"/>
          <w:szCs w:val="24"/>
        </w:rPr>
        <w:t xml:space="preserve">w tytule </w:t>
      </w:r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zawierają dodatkową informację o sytuacji, </w:t>
      </w:r>
      <w:r>
        <w:rPr>
          <w:rFonts w:ascii="United Sans Cd Lt" w:eastAsia="Times New Roman" w:hAnsi="United Sans Cd Lt" w:cs="Times New Roman"/>
          <w:sz w:val="24"/>
          <w:szCs w:val="24"/>
        </w:rPr>
        <w:t>np.</w:t>
      </w:r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 xml:space="preserve"> „Pejzaż morski w deszczu”. Strzemiński tak pisał na temat tego cyklu: „forma wynika z</w:t>
      </w:r>
      <w:r w:rsidR="00431249">
        <w:rPr>
          <w:rFonts w:ascii="Calibri" w:eastAsia="Times New Roman" w:hAnsi="Calibri" w:cs="Calibri"/>
          <w:sz w:val="24"/>
          <w:szCs w:val="24"/>
        </w:rPr>
        <w:t> </w:t>
      </w:r>
      <w:bookmarkStart w:id="0" w:name="_GoBack"/>
      <w:bookmarkEnd w:id="0"/>
      <w:r w:rsidR="00E17FEF" w:rsidRPr="00E17FEF">
        <w:rPr>
          <w:rFonts w:ascii="United Sans Cd Lt" w:eastAsia="Times New Roman" w:hAnsi="United Sans Cd Lt" w:cs="Times New Roman"/>
          <w:sz w:val="24"/>
          <w:szCs w:val="24"/>
        </w:rPr>
        <w:t>nawarstwienia się i wzajemnego deformowania poszczególnych elementów natury. Bieg fal i falista linia brzegu, łącząc się przez przenoszenie wzroku z jednego na drugie wytwarzają linię o rytmie wspólnym dla całości. Rytm wynikający ze współdziałania wszystkich składników pejzażu, powstający przez wydobycie współzależności i wpływów, wywieranych przez każdy element natury na wszystkie inne, rytm całości jako płynna ciągłość nieregularnej symetrii – był moim celem”.</w:t>
      </w:r>
    </w:p>
    <w:sectPr w:rsidR="00E17FEF" w:rsidRPr="00E17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ted Sans Cd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E2260"/>
    <w:multiLevelType w:val="hybridMultilevel"/>
    <w:tmpl w:val="6C101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972AF"/>
    <w:multiLevelType w:val="hybridMultilevel"/>
    <w:tmpl w:val="5C1C0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CE"/>
    <w:rsid w:val="00267303"/>
    <w:rsid w:val="003E5A39"/>
    <w:rsid w:val="00431249"/>
    <w:rsid w:val="0047226F"/>
    <w:rsid w:val="005F1B80"/>
    <w:rsid w:val="006059CC"/>
    <w:rsid w:val="0064560F"/>
    <w:rsid w:val="007D1C31"/>
    <w:rsid w:val="008A2869"/>
    <w:rsid w:val="009802CE"/>
    <w:rsid w:val="00B85AFE"/>
    <w:rsid w:val="00BC3486"/>
    <w:rsid w:val="00CC5114"/>
    <w:rsid w:val="00E17FEF"/>
    <w:rsid w:val="00ED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884A"/>
  <w15:chartTrackingRefBased/>
  <w15:docId w15:val="{3BFD3F2D-962E-4BE1-8EBC-5961CB8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C3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3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17FEF"/>
    <w:pPr>
      <w:keepNext/>
      <w:keepLines/>
      <w:spacing w:before="40" w:after="0"/>
      <w:outlineLvl w:val="2"/>
    </w:pPr>
    <w:rPr>
      <w:rFonts w:ascii="United Sans Cd Lt" w:eastAsiaTheme="majorEastAsia" w:hAnsi="United Sans Cd Lt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rsid w:val="00BC3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C348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BC3486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Akapitzlist">
    <w:name w:val="List Paragraph"/>
    <w:basedOn w:val="Normalny"/>
    <w:uiPriority w:val="34"/>
    <w:qFormat/>
    <w:rsid w:val="003E5A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59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59C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E17FEF"/>
    <w:rPr>
      <w:rFonts w:ascii="United Sans Cd Lt" w:eastAsiaTheme="majorEastAsia" w:hAnsi="United Sans Cd Lt" w:cstheme="majorBidi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CC51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6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soby.msl.org.pl/arts/view/12495" TargetMode="External"/><Relationship Id="rId5" Type="http://schemas.openxmlformats.org/officeDocument/2006/relationships/hyperlink" Target="https://zasoby.msl.org.pl/arts/view/1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832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IWojtyczka</dc:creator>
  <cp:keywords/>
  <dc:description/>
  <cp:lastModifiedBy>IWojtyczka</cp:lastModifiedBy>
  <cp:revision>5</cp:revision>
  <dcterms:created xsi:type="dcterms:W3CDTF">2025-02-07T08:36:00Z</dcterms:created>
  <dcterms:modified xsi:type="dcterms:W3CDTF">2025-03-05T12:36:00Z</dcterms:modified>
</cp:coreProperties>
</file>