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421B5" w14:textId="44E4B3E5" w:rsidR="007C44AD" w:rsidRPr="007C44AD" w:rsidRDefault="007C44AD" w:rsidP="007C44AD">
      <w:pPr>
        <w:pStyle w:val="Nagwek1"/>
        <w:rPr>
          <w:rFonts w:ascii="United Sans Rg Lt" w:hAnsi="United Sans Rg Lt"/>
          <w:i/>
        </w:rPr>
      </w:pPr>
      <w:bookmarkStart w:id="0" w:name="_GoBack"/>
      <w:r w:rsidRPr="007C44AD">
        <w:rPr>
          <w:rFonts w:ascii="United Sans Rg Lt" w:hAnsi="United Sans Rg Lt"/>
        </w:rPr>
        <w:t xml:space="preserve">Opis ogólny wystawy </w:t>
      </w:r>
      <w:r w:rsidRPr="007C44AD">
        <w:rPr>
          <w:rFonts w:ascii="United Sans Rg Lt" w:hAnsi="United Sans Rg Lt"/>
          <w:i/>
        </w:rPr>
        <w:t>Zygmunt Krauze. Archiwum twórcze</w:t>
      </w:r>
      <w:bookmarkEnd w:id="0"/>
    </w:p>
    <w:p w14:paraId="2A403639" w14:textId="4A3FFE14" w:rsidR="00871BAF" w:rsidRPr="007C44AD" w:rsidRDefault="00871BAF" w:rsidP="007C44AD">
      <w:pPr>
        <w:pStyle w:val="Nagwek1"/>
        <w:spacing w:line="360" w:lineRule="auto"/>
        <w:rPr>
          <w:rFonts w:ascii="United Sans Rg Lt" w:hAnsi="United Sans Rg Lt" w:cstheme="minorHAnsi"/>
          <w:b w:val="0"/>
          <w:sz w:val="22"/>
          <w:szCs w:val="22"/>
        </w:rPr>
      </w:pP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Wystawa </w:t>
      </w:r>
      <w:r w:rsidRPr="007C44AD">
        <w:rPr>
          <w:rFonts w:ascii="United Sans Rg Lt" w:hAnsi="United Sans Rg Lt" w:cstheme="minorHAnsi"/>
          <w:b w:val="0"/>
          <w:i/>
          <w:sz w:val="22"/>
          <w:szCs w:val="22"/>
        </w:rPr>
        <w:t xml:space="preserve">Zygmunt Krauze. Archiwum twórcze, 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znajduje się w zabytkowej Sali odczytowej Muzeum Sztuki w Łodzi. </w:t>
      </w:r>
    </w:p>
    <w:p w14:paraId="106EB021" w14:textId="7E010364" w:rsidR="004E3317" w:rsidRPr="007C44AD" w:rsidRDefault="00871BAF" w:rsidP="007C44AD">
      <w:pPr>
        <w:pStyle w:val="Nagwek1"/>
        <w:spacing w:line="360" w:lineRule="auto"/>
        <w:rPr>
          <w:rFonts w:ascii="United Sans Rg Lt" w:hAnsi="United Sans Rg Lt" w:cstheme="minorHAnsi"/>
          <w:b w:val="0"/>
          <w:sz w:val="22"/>
          <w:szCs w:val="22"/>
        </w:rPr>
      </w:pPr>
      <w:r w:rsidRPr="007C44AD">
        <w:rPr>
          <w:rFonts w:ascii="United Sans Rg Lt" w:hAnsi="United Sans Rg Lt" w:cstheme="minorHAnsi"/>
          <w:b w:val="0"/>
          <w:sz w:val="22"/>
          <w:szCs w:val="22"/>
        </w:rPr>
        <w:t>Sala ta zachowała swój dawny wystrój. Na ścianach znajduje się ciemna, dębowa boazeria, jej wysokość to około półtora metra. Powyżej widać ciemnoczerwoną tapetę wykonaną z grubego materiału</w:t>
      </w:r>
      <w:r w:rsidR="001672D6" w:rsidRPr="007C44AD">
        <w:rPr>
          <w:rFonts w:ascii="United Sans Rg Lt" w:hAnsi="United Sans Rg Lt" w:cstheme="minorHAnsi"/>
          <w:b w:val="0"/>
          <w:sz w:val="22"/>
          <w:szCs w:val="22"/>
        </w:rPr>
        <w:t>,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 w tradycyjny kwiatowy wzór. </w:t>
      </w:r>
      <w:r w:rsidR="004E3317" w:rsidRPr="007C44AD">
        <w:rPr>
          <w:rFonts w:ascii="United Sans Rg Lt" w:hAnsi="United Sans Rg Lt" w:cstheme="minorHAnsi"/>
          <w:b w:val="0"/>
          <w:sz w:val="22"/>
          <w:szCs w:val="22"/>
        </w:rPr>
        <w:t xml:space="preserve">Na ścianie, po lewej stronie od wejścia wisi bardzo duże lustro z przełomu XIX i XX wieku, w stosunkowo cienkiej, pozłacanej ramie. 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>Sufit jest wypełniony bardzo dekoracyjnymi kasetonami. Na podłodze został zachowany oryginalny</w:t>
      </w:r>
      <w:r w:rsidR="004E3317" w:rsidRPr="007C44AD">
        <w:rPr>
          <w:rFonts w:ascii="United Sans Rg Lt" w:hAnsi="United Sans Rg Lt" w:cstheme="minorHAnsi"/>
          <w:b w:val="0"/>
          <w:sz w:val="22"/>
          <w:szCs w:val="22"/>
        </w:rPr>
        <w:t>,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 dębowy parkiet z</w:t>
      </w:r>
      <w:r w:rsidR="007C44AD">
        <w:rPr>
          <w:rFonts w:ascii="Calibri" w:hAnsi="Calibri" w:cs="Calibri"/>
          <w:b w:val="0"/>
          <w:sz w:val="22"/>
          <w:szCs w:val="22"/>
        </w:rPr>
        <w:t> 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drobnymi wstawkami </w:t>
      </w:r>
      <w:r w:rsidR="004E3317" w:rsidRPr="007C44AD">
        <w:rPr>
          <w:rFonts w:ascii="United Sans Rg Lt" w:hAnsi="United Sans Rg Lt" w:cstheme="minorHAnsi"/>
          <w:b w:val="0"/>
          <w:sz w:val="22"/>
          <w:szCs w:val="22"/>
        </w:rPr>
        <w:t xml:space="preserve">wykonanymi z 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czarnego dębu. </w:t>
      </w:r>
      <w:r w:rsidR="004E3317" w:rsidRPr="007C44AD">
        <w:rPr>
          <w:rFonts w:ascii="United Sans Rg Lt" w:hAnsi="United Sans Rg Lt" w:cstheme="minorHAnsi"/>
          <w:b w:val="0"/>
          <w:sz w:val="22"/>
          <w:szCs w:val="22"/>
        </w:rPr>
        <w:t xml:space="preserve">Prawdopodobnie sala pełniła funkcję eleganckiego gabinetu, lub 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>s</w:t>
      </w:r>
      <w:r w:rsidR="004E3317" w:rsidRPr="007C44AD">
        <w:rPr>
          <w:rFonts w:ascii="United Sans Rg Lt" w:hAnsi="United Sans Rg Lt" w:cstheme="minorHAnsi"/>
          <w:b w:val="0"/>
          <w:sz w:val="22"/>
          <w:szCs w:val="22"/>
        </w:rPr>
        <w:t>ali balowej.</w:t>
      </w:r>
    </w:p>
    <w:p w14:paraId="65235FDD" w14:textId="0899046E" w:rsidR="002B5D48" w:rsidRPr="007C44AD" w:rsidRDefault="004E3317" w:rsidP="007C44AD">
      <w:pPr>
        <w:pStyle w:val="Nagwek1"/>
        <w:spacing w:line="360" w:lineRule="auto"/>
        <w:rPr>
          <w:rFonts w:ascii="United Sans Rg Lt" w:hAnsi="United Sans Rg Lt" w:cstheme="minorHAnsi"/>
          <w:b w:val="0"/>
          <w:sz w:val="22"/>
          <w:szCs w:val="22"/>
        </w:rPr>
      </w:pP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Wystawa prezentuje archiwalne druki związane z pracą polskiego kompozytora Zygmunta Krauze. Druki to listy, fragmenty partytur, także zeszyty nutowe umieszczone w szklanych, dużych gablotach. Gabloty ustawiono wzdłuż ścian 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>s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ali odczytowej. </w:t>
      </w:r>
    </w:p>
    <w:p w14:paraId="19728EFC" w14:textId="6C76CE06" w:rsidR="004E3317" w:rsidRPr="007C44AD" w:rsidRDefault="004E3317" w:rsidP="007C44AD">
      <w:pPr>
        <w:pStyle w:val="Nagwek1"/>
        <w:spacing w:line="360" w:lineRule="auto"/>
        <w:rPr>
          <w:rFonts w:ascii="United Sans Rg Lt" w:hAnsi="United Sans Rg Lt" w:cstheme="minorHAnsi"/>
          <w:b w:val="0"/>
          <w:sz w:val="22"/>
          <w:szCs w:val="22"/>
        </w:rPr>
      </w:pP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Zygmunt Krauze był zafascynowany twórczością Władysława Strzemińskiego, a szczególnie unizmem, w 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>s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>ali znajduje się kompozycja unistyczna tego artysty</w:t>
      </w:r>
      <w:r w:rsidR="002B5D48" w:rsidRPr="007C44AD">
        <w:rPr>
          <w:rFonts w:ascii="United Sans Rg Lt" w:hAnsi="United Sans Rg Lt" w:cstheme="minorHAnsi"/>
          <w:b w:val="0"/>
          <w:sz w:val="22"/>
          <w:szCs w:val="22"/>
        </w:rPr>
        <w:t xml:space="preserve"> (</w:t>
      </w:r>
      <w:r w:rsidR="002B5D48" w:rsidRPr="007C44AD">
        <w:rPr>
          <w:rFonts w:ascii="United Sans Rg Lt" w:hAnsi="United Sans Rg Lt" w:cstheme="minorHAnsi"/>
          <w:b w:val="0"/>
          <w:i/>
          <w:sz w:val="22"/>
          <w:szCs w:val="22"/>
        </w:rPr>
        <w:t>Kompozycja unistyczna nr.</w:t>
      </w:r>
      <w:r w:rsidR="007C44AD">
        <w:rPr>
          <w:rFonts w:ascii="United Sans Rg Lt" w:hAnsi="United Sans Rg Lt" w:cstheme="minorHAnsi"/>
          <w:b w:val="0"/>
          <w:i/>
          <w:sz w:val="22"/>
          <w:szCs w:val="22"/>
        </w:rPr>
        <w:t xml:space="preserve"> </w:t>
      </w:r>
      <w:r w:rsidR="002B5D48" w:rsidRPr="007C44AD">
        <w:rPr>
          <w:rFonts w:ascii="United Sans Rg Lt" w:hAnsi="United Sans Rg Lt" w:cstheme="minorHAnsi"/>
          <w:b w:val="0"/>
          <w:i/>
          <w:sz w:val="22"/>
          <w:szCs w:val="22"/>
        </w:rPr>
        <w:t>13, z</w:t>
      </w:r>
      <w:r w:rsidR="007C44AD">
        <w:rPr>
          <w:rFonts w:ascii="Calibri" w:hAnsi="Calibri" w:cs="Calibri"/>
          <w:b w:val="0"/>
          <w:i/>
          <w:sz w:val="22"/>
          <w:szCs w:val="22"/>
        </w:rPr>
        <w:t> </w:t>
      </w:r>
      <w:r w:rsidR="002B5D48" w:rsidRPr="007C44AD">
        <w:rPr>
          <w:rFonts w:ascii="United Sans Rg Lt" w:hAnsi="United Sans Rg Lt" w:cstheme="minorHAnsi"/>
          <w:b w:val="0"/>
          <w:i/>
          <w:sz w:val="22"/>
          <w:szCs w:val="22"/>
        </w:rPr>
        <w:t>1934 roku)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>.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 xml:space="preserve"> </w:t>
      </w:r>
      <w:r w:rsidR="002B5D48" w:rsidRPr="007C44AD">
        <w:rPr>
          <w:rFonts w:ascii="United Sans Rg Lt" w:hAnsi="United Sans Rg Lt" w:cstheme="minorHAnsi"/>
          <w:b w:val="0"/>
          <w:sz w:val="22"/>
          <w:szCs w:val="22"/>
        </w:rPr>
        <w:t>Unizm zakładał jednorodność i spójnoś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>ć</w:t>
      </w:r>
      <w:r w:rsidR="002B5D48" w:rsidRPr="007C44AD">
        <w:rPr>
          <w:rFonts w:ascii="United Sans Rg Lt" w:hAnsi="United Sans Rg Lt" w:cstheme="minorHAnsi"/>
          <w:b w:val="0"/>
          <w:sz w:val="22"/>
          <w:szCs w:val="22"/>
        </w:rPr>
        <w:t xml:space="preserve"> formy, tak aby żaden element nie dominował nad innym. 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 xml:space="preserve">Obraz jest abstrakcyjny i wolny od tematu. </w:t>
      </w:r>
    </w:p>
    <w:p w14:paraId="5C38B8C6" w14:textId="43050070" w:rsidR="002B5D48" w:rsidRPr="007C44AD" w:rsidRDefault="002B5D48" w:rsidP="007C44AD">
      <w:pPr>
        <w:pStyle w:val="Nagwek1"/>
        <w:spacing w:line="360" w:lineRule="auto"/>
        <w:rPr>
          <w:rFonts w:ascii="United Sans Rg Lt" w:hAnsi="United Sans Rg Lt" w:cstheme="minorHAnsi"/>
          <w:b w:val="0"/>
          <w:sz w:val="22"/>
          <w:szCs w:val="22"/>
        </w:rPr>
      </w:pP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Blisko środka 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>s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 xml:space="preserve">ali umieszczono rzeźbę Henryka Morela z 1966 roku pod tytułem </w:t>
      </w:r>
      <w:r w:rsidR="00D9199F" w:rsidRPr="007C44AD">
        <w:rPr>
          <w:rFonts w:ascii="United Sans Rg Lt" w:hAnsi="United Sans Rg Lt" w:cstheme="minorHAnsi"/>
          <w:b w:val="0"/>
          <w:i/>
          <w:sz w:val="22"/>
          <w:szCs w:val="22"/>
        </w:rPr>
        <w:t xml:space="preserve">Domy IV. 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>Morel był artystą, który z upodobaniem łączył rozmaite</w:t>
      </w:r>
      <w:r w:rsidR="001672D6" w:rsidRPr="007C44AD">
        <w:rPr>
          <w:rFonts w:ascii="United Sans Rg Lt" w:hAnsi="United Sans Rg Lt" w:cstheme="minorHAnsi"/>
          <w:b w:val="0"/>
          <w:sz w:val="22"/>
          <w:szCs w:val="22"/>
        </w:rPr>
        <w:t>,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 xml:space="preserve"> artystyczne formy kontaktu z widzem. Komponował dzieła, w których </w:t>
      </w:r>
      <w:r w:rsidR="001672D6" w:rsidRPr="007C44AD">
        <w:rPr>
          <w:rFonts w:ascii="United Sans Rg Lt" w:hAnsi="United Sans Rg Lt" w:cstheme="minorHAnsi"/>
          <w:b w:val="0"/>
          <w:sz w:val="22"/>
          <w:szCs w:val="22"/>
        </w:rPr>
        <w:t>dźwięki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 xml:space="preserve"> łączyły się z formą plastyczną, ruchem i światłem. Jedną tak</w:t>
      </w:r>
      <w:r w:rsidR="001672D6" w:rsidRPr="007C44AD">
        <w:rPr>
          <w:rFonts w:ascii="United Sans Rg Lt" w:hAnsi="United Sans Rg Lt" w:cstheme="minorHAnsi"/>
          <w:b w:val="0"/>
          <w:sz w:val="22"/>
          <w:szCs w:val="22"/>
        </w:rPr>
        <w:t>ą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 xml:space="preserve"> </w:t>
      </w:r>
      <w:r w:rsidR="001672D6" w:rsidRPr="007C44AD">
        <w:rPr>
          <w:rFonts w:ascii="United Sans Rg Lt" w:hAnsi="United Sans Rg Lt" w:cstheme="minorHAnsi"/>
          <w:b w:val="0"/>
          <w:sz w:val="22"/>
          <w:szCs w:val="22"/>
        </w:rPr>
        <w:t>realizację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 xml:space="preserve"> wykonał </w:t>
      </w:r>
      <w:r w:rsidR="001672D6" w:rsidRPr="007C44AD">
        <w:rPr>
          <w:rFonts w:ascii="United Sans Rg Lt" w:hAnsi="United Sans Rg Lt" w:cstheme="minorHAnsi"/>
          <w:b w:val="0"/>
          <w:sz w:val="22"/>
          <w:szCs w:val="22"/>
        </w:rPr>
        <w:t>w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 xml:space="preserve"> 1968 roku </w:t>
      </w:r>
      <w:r w:rsidR="001672D6" w:rsidRPr="007C44AD">
        <w:rPr>
          <w:rFonts w:ascii="United Sans Rg Lt" w:hAnsi="United Sans Rg Lt" w:cstheme="minorHAnsi"/>
          <w:b w:val="0"/>
          <w:sz w:val="22"/>
          <w:szCs w:val="22"/>
        </w:rPr>
        <w:t xml:space="preserve">wspólnie 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>z Zygmuntem Krauze. (</w:t>
      </w:r>
      <w:r w:rsidR="00D9199F" w:rsidRPr="007C44AD">
        <w:rPr>
          <w:rFonts w:ascii="United Sans Rg Lt" w:hAnsi="United Sans Rg Lt" w:cstheme="minorHAnsi"/>
          <w:b w:val="0"/>
          <w:i/>
          <w:sz w:val="22"/>
          <w:szCs w:val="22"/>
        </w:rPr>
        <w:t xml:space="preserve">Kompozycja </w:t>
      </w:r>
      <w:r w:rsidR="001672D6" w:rsidRPr="007C44AD">
        <w:rPr>
          <w:rFonts w:ascii="United Sans Rg Lt" w:hAnsi="United Sans Rg Lt" w:cstheme="minorHAnsi"/>
          <w:b w:val="0"/>
          <w:i/>
          <w:sz w:val="22"/>
          <w:szCs w:val="22"/>
        </w:rPr>
        <w:t>przestrzenno</w:t>
      </w:r>
      <w:r w:rsidR="007C44AD">
        <w:rPr>
          <w:rFonts w:ascii="United Sans Rg Lt" w:hAnsi="United Sans Rg Lt" w:cstheme="minorHAnsi"/>
          <w:b w:val="0"/>
          <w:i/>
          <w:sz w:val="22"/>
          <w:szCs w:val="22"/>
        </w:rPr>
        <w:t>-</w:t>
      </w:r>
      <w:r w:rsidR="00D9199F" w:rsidRPr="007C44AD">
        <w:rPr>
          <w:rFonts w:ascii="United Sans Rg Lt" w:hAnsi="United Sans Rg Lt" w:cstheme="minorHAnsi"/>
          <w:b w:val="0"/>
          <w:i/>
          <w:sz w:val="22"/>
          <w:szCs w:val="22"/>
        </w:rPr>
        <w:t>muzyczna</w:t>
      </w:r>
      <w:r w:rsidR="00D9199F" w:rsidRPr="007C44AD">
        <w:rPr>
          <w:rFonts w:ascii="United Sans Rg Lt" w:hAnsi="United Sans Rg Lt" w:cstheme="minorHAnsi"/>
          <w:b w:val="0"/>
          <w:sz w:val="22"/>
          <w:szCs w:val="22"/>
        </w:rPr>
        <w:t>)</w:t>
      </w:r>
      <w:r w:rsidR="001672D6" w:rsidRPr="007C44AD">
        <w:rPr>
          <w:rFonts w:ascii="United Sans Rg Lt" w:hAnsi="United Sans Rg Lt" w:cstheme="minorHAnsi"/>
          <w:b w:val="0"/>
          <w:sz w:val="22"/>
          <w:szCs w:val="22"/>
        </w:rPr>
        <w:t>.</w:t>
      </w:r>
    </w:p>
    <w:p w14:paraId="04702D11" w14:textId="2806A770" w:rsidR="001672D6" w:rsidRPr="007C44AD" w:rsidRDefault="001672D6" w:rsidP="007C44AD">
      <w:pPr>
        <w:pStyle w:val="Nagwek1"/>
        <w:spacing w:line="360" w:lineRule="auto"/>
        <w:rPr>
          <w:rFonts w:ascii="United Sans Rg Lt" w:hAnsi="United Sans Rg Lt" w:cstheme="minorHAnsi"/>
          <w:b w:val="0"/>
          <w:sz w:val="22"/>
          <w:szCs w:val="22"/>
        </w:rPr>
      </w:pPr>
      <w:r w:rsidRPr="007C44AD">
        <w:rPr>
          <w:rFonts w:ascii="United Sans Rg Lt" w:hAnsi="United Sans Rg Lt" w:cstheme="minorHAnsi"/>
          <w:b w:val="0"/>
          <w:sz w:val="22"/>
          <w:szCs w:val="22"/>
        </w:rPr>
        <w:t>Rzeźba Henryka Morela jest stosunkowo duża, ma 104 centymetry wysokości. Jest wykonana z</w:t>
      </w:r>
      <w:r w:rsidR="007C44AD">
        <w:rPr>
          <w:rFonts w:ascii="Calibri" w:hAnsi="Calibri" w:cs="Calibri"/>
          <w:b w:val="0"/>
          <w:sz w:val="22"/>
          <w:szCs w:val="22"/>
        </w:rPr>
        <w:t> 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metalowych form, między które artysta wtłoczył obłe, gumowe części. Jest to rzeźba abstrakcyjna. </w:t>
      </w:r>
    </w:p>
    <w:p w14:paraId="482324AD" w14:textId="43235CF6" w:rsidR="003820AF" w:rsidRPr="007C44AD" w:rsidRDefault="003820AF" w:rsidP="007C44AD">
      <w:pPr>
        <w:pStyle w:val="Nagwek1"/>
        <w:spacing w:line="360" w:lineRule="auto"/>
        <w:rPr>
          <w:rFonts w:ascii="United Sans Rg Lt" w:hAnsi="United Sans Rg Lt" w:cstheme="minorHAnsi"/>
          <w:b w:val="0"/>
          <w:sz w:val="22"/>
          <w:szCs w:val="22"/>
        </w:rPr>
      </w:pPr>
      <w:r w:rsidRPr="007C44AD">
        <w:rPr>
          <w:rFonts w:ascii="United Sans Rg Lt" w:hAnsi="United Sans Rg Lt" w:cstheme="minorHAnsi"/>
          <w:b w:val="0"/>
          <w:sz w:val="22"/>
          <w:szCs w:val="22"/>
        </w:rPr>
        <w:t>Za rzeźbą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>, w lewym narożniku sali odczytowej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 został umieszczony duży, czarny fortepian. 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>Ta część s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ali odczytowej 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 xml:space="preserve">zamknięta jest 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>wysoki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>m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>, półokrągło zakończon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>ym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 okn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>em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. </w:t>
      </w:r>
    </w:p>
    <w:p w14:paraId="3021F4F2" w14:textId="69DBB537" w:rsidR="00875A28" w:rsidRPr="007C44AD" w:rsidRDefault="001672D6" w:rsidP="007C44AD">
      <w:pPr>
        <w:pStyle w:val="Nagwek1"/>
        <w:spacing w:line="360" w:lineRule="auto"/>
        <w:rPr>
          <w:rFonts w:ascii="United Sans Rg Lt" w:hAnsi="United Sans Rg Lt"/>
          <w:sz w:val="22"/>
          <w:szCs w:val="22"/>
        </w:rPr>
      </w:pPr>
      <w:r w:rsidRPr="007C44AD">
        <w:rPr>
          <w:rFonts w:ascii="United Sans Rg Lt" w:hAnsi="United Sans Rg Lt" w:cstheme="minorHAnsi"/>
          <w:b w:val="0"/>
          <w:sz w:val="22"/>
          <w:szCs w:val="22"/>
        </w:rPr>
        <w:t>Sala odczytowa posiada dwa wejścia. Wejście boczne, do którego dostaniemy się z pomocą windy prowadzi bezpośrednio na wystawę. Stąd możemy zacząć zwiedzanie. Kierując się na</w:t>
      </w:r>
      <w:r w:rsidR="007C44AD">
        <w:rPr>
          <w:rFonts w:ascii="United Sans Rg Lt" w:hAnsi="United Sans Rg Lt" w:cstheme="minorHAnsi"/>
          <w:b w:val="0"/>
          <w:sz w:val="22"/>
          <w:szCs w:val="22"/>
        </w:rPr>
        <w:t xml:space="preserve"> 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>wprost i idąc wzdłuż umieszczonych gablot, dotrzemy do wejścia głównego, prowadzącego na mały korytarz skąd z kolei możemy się dostać, zarówno na kolejną wystawę</w:t>
      </w:r>
      <w:r w:rsidR="003820AF" w:rsidRPr="007C44AD">
        <w:rPr>
          <w:rFonts w:ascii="United Sans Rg Lt" w:hAnsi="United Sans Rg Lt" w:cstheme="minorHAnsi"/>
          <w:b w:val="0"/>
          <w:sz w:val="22"/>
          <w:szCs w:val="22"/>
        </w:rPr>
        <w:t xml:space="preserve"> (idąc w prawo)</w:t>
      </w:r>
      <w:r w:rsidRPr="007C44AD">
        <w:rPr>
          <w:rFonts w:ascii="United Sans Rg Lt" w:hAnsi="United Sans Rg Lt" w:cstheme="minorHAnsi"/>
          <w:b w:val="0"/>
          <w:sz w:val="22"/>
          <w:szCs w:val="22"/>
        </w:rPr>
        <w:t xml:space="preserve"> jak i </w:t>
      </w:r>
      <w:r w:rsidR="003820AF" w:rsidRPr="007C44AD">
        <w:rPr>
          <w:rFonts w:ascii="United Sans Rg Lt" w:hAnsi="United Sans Rg Lt" w:cstheme="minorHAnsi"/>
          <w:b w:val="0"/>
          <w:sz w:val="22"/>
          <w:szCs w:val="22"/>
        </w:rPr>
        <w:t>na zabytkową klatkę schodową (kierując się na lewo).</w:t>
      </w:r>
    </w:p>
    <w:sectPr w:rsidR="00875A28" w:rsidRPr="007C4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AEB"/>
    <w:rsid w:val="001672D6"/>
    <w:rsid w:val="002B5D48"/>
    <w:rsid w:val="003820AF"/>
    <w:rsid w:val="004E3317"/>
    <w:rsid w:val="007C44AD"/>
    <w:rsid w:val="00871BAF"/>
    <w:rsid w:val="00875A28"/>
    <w:rsid w:val="00BE2AEB"/>
    <w:rsid w:val="00D9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78838"/>
  <w15:chartTrackingRefBased/>
  <w15:docId w15:val="{78E33DA1-316F-4E81-B55C-11259094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71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44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1BA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Uwydatnienie">
    <w:name w:val="Emphasis"/>
    <w:basedOn w:val="Domylnaczcionkaakapitu"/>
    <w:uiPriority w:val="20"/>
    <w:qFormat/>
    <w:rsid w:val="00D9199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7C44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28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ogólny wystawy Zygmunt Krauze. Archiwum twórcze</dc:title>
  <dc:subject/>
  <dc:creator>MWlazel</dc:creator>
  <cp:keywords/>
  <dc:description/>
  <cp:lastModifiedBy>IWojtyczka</cp:lastModifiedBy>
  <cp:revision>3</cp:revision>
  <dcterms:created xsi:type="dcterms:W3CDTF">2024-05-13T12:37:00Z</dcterms:created>
  <dcterms:modified xsi:type="dcterms:W3CDTF">2024-05-14T07:52:00Z</dcterms:modified>
</cp:coreProperties>
</file>