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10A9C" w14:textId="6883DED4" w:rsidR="0067791E" w:rsidRPr="005C7E7D" w:rsidRDefault="0067791E" w:rsidP="00A412CD">
      <w:pPr>
        <w:pStyle w:val="Nagwek1"/>
        <w:rPr>
          <w:rFonts w:ascii="United Sans Rg Lt" w:hAnsi="United Sans Rg Lt"/>
        </w:rPr>
      </w:pPr>
      <w:r w:rsidRPr="005C7E7D">
        <w:rPr>
          <w:rFonts w:ascii="United Sans Rg Lt" w:hAnsi="United Sans Rg Lt"/>
        </w:rPr>
        <w:t>Sposoby widzenia. Kolekcja Muzeum Sztuki w Łodzi</w:t>
      </w:r>
    </w:p>
    <w:p w14:paraId="53EB3747" w14:textId="17918E69" w:rsidR="00C61B9F" w:rsidRPr="005C7E7D" w:rsidRDefault="00C61B9F" w:rsidP="005C7E7D">
      <w:pPr>
        <w:spacing w:before="480" w:line="360" w:lineRule="auto"/>
        <w:rPr>
          <w:rFonts w:ascii="United Sans Rg Lt" w:hAnsi="United Sans Rg Lt"/>
        </w:rPr>
      </w:pPr>
      <w:r w:rsidRPr="005C7E7D">
        <w:rPr>
          <w:rFonts w:ascii="United Sans Rg Lt" w:hAnsi="United Sans Rg Lt"/>
          <w:i/>
        </w:rPr>
        <w:t>Sposoby widzenia</w:t>
      </w:r>
      <w:r w:rsidRPr="005C7E7D">
        <w:rPr>
          <w:rFonts w:ascii="United Sans Rg Lt" w:hAnsi="United Sans Rg Lt"/>
        </w:rPr>
        <w:t xml:space="preserve"> to nowa wystawa </w:t>
      </w:r>
      <w:r w:rsidR="005C7E7D">
        <w:rPr>
          <w:rFonts w:ascii="United Sans Rg Lt" w:hAnsi="United Sans Rg Lt"/>
        </w:rPr>
        <w:t xml:space="preserve">stała </w:t>
      </w:r>
      <w:r w:rsidRPr="005C7E7D">
        <w:rPr>
          <w:rFonts w:ascii="United Sans Rg Lt" w:hAnsi="United Sans Rg Lt"/>
        </w:rPr>
        <w:t>w Muzeum Sztuki w Łodzi</w:t>
      </w:r>
      <w:r w:rsidR="005C7E7D">
        <w:rPr>
          <w:rFonts w:ascii="United Sans Rg Lt" w:hAnsi="United Sans Rg Lt"/>
        </w:rPr>
        <w:t xml:space="preserve"> </w:t>
      </w:r>
      <w:r w:rsidR="00BC04EE" w:rsidRPr="005C7E7D">
        <w:rPr>
          <w:rFonts w:ascii="United Sans Rg Lt" w:hAnsi="United Sans Rg Lt"/>
        </w:rPr>
        <w:t>otwarta 17</w:t>
      </w:r>
      <w:r w:rsidR="005C7E7D">
        <w:rPr>
          <w:rFonts w:ascii="Calibri" w:hAnsi="Calibri" w:cs="Calibri"/>
        </w:rPr>
        <w:t> </w:t>
      </w:r>
      <w:r w:rsidR="00BC04EE" w:rsidRPr="005C7E7D">
        <w:rPr>
          <w:rFonts w:ascii="United Sans Rg Lt" w:hAnsi="United Sans Rg Lt"/>
        </w:rPr>
        <w:t xml:space="preserve">października 2025 roku. </w:t>
      </w:r>
      <w:r w:rsidRPr="005C7E7D">
        <w:rPr>
          <w:rFonts w:ascii="United Sans Rg Lt" w:hAnsi="United Sans Rg Lt"/>
        </w:rPr>
        <w:t xml:space="preserve">Można na niej zobaczyć dzieła z </w:t>
      </w:r>
      <w:r w:rsidR="005C7E7D">
        <w:rPr>
          <w:rFonts w:ascii="United Sans Rg Lt" w:hAnsi="United Sans Rg Lt"/>
        </w:rPr>
        <w:t xml:space="preserve">bogatej kolekcji </w:t>
      </w:r>
      <w:r w:rsidRPr="005C7E7D">
        <w:rPr>
          <w:rFonts w:ascii="United Sans Rg Lt" w:hAnsi="United Sans Rg Lt"/>
        </w:rPr>
        <w:t>zbiorów</w:t>
      </w:r>
      <w:r w:rsidR="005C7E7D">
        <w:rPr>
          <w:rFonts w:ascii="United Sans Rg Lt" w:hAnsi="United Sans Rg Lt"/>
        </w:rPr>
        <w:t xml:space="preserve"> Muzeum</w:t>
      </w:r>
      <w:r w:rsidR="00BC04EE" w:rsidRPr="005C7E7D">
        <w:rPr>
          <w:rFonts w:ascii="United Sans Rg Lt" w:hAnsi="United Sans Rg Lt"/>
        </w:rPr>
        <w:t xml:space="preserve">. </w:t>
      </w:r>
      <w:r w:rsidR="005C7E7D">
        <w:rPr>
          <w:rFonts w:ascii="United Sans Rg Lt" w:hAnsi="United Sans Rg Lt"/>
        </w:rPr>
        <w:t xml:space="preserve">Na ekspozycji zgromadzono </w:t>
      </w:r>
      <w:r w:rsidRPr="005C7E7D">
        <w:rPr>
          <w:rFonts w:ascii="United Sans Rg Lt" w:hAnsi="United Sans Rg Lt"/>
        </w:rPr>
        <w:t>prace ponad 200 artystów z Polski i z innych krajów. Muzeum Sztuki w Łodzi</w:t>
      </w:r>
      <w:r w:rsidR="005C7E7D">
        <w:rPr>
          <w:rFonts w:ascii="United Sans Rg Lt" w:hAnsi="United Sans Rg Lt"/>
        </w:rPr>
        <w:t xml:space="preserve"> </w:t>
      </w:r>
      <w:r w:rsidR="001E6AE1" w:rsidRPr="005C7E7D">
        <w:rPr>
          <w:rFonts w:ascii="United Sans Rg Lt" w:hAnsi="United Sans Rg Lt"/>
        </w:rPr>
        <w:t xml:space="preserve">już </w:t>
      </w:r>
      <w:r w:rsidRPr="005C7E7D">
        <w:rPr>
          <w:rFonts w:ascii="United Sans Rg Lt" w:hAnsi="United Sans Rg Lt"/>
        </w:rPr>
        <w:t>od lat 30. XX wieku jest jednym z</w:t>
      </w:r>
      <w:r w:rsidR="00BC04EE" w:rsidRPr="005C7E7D">
        <w:rPr>
          <w:rFonts w:ascii="Calibri" w:hAnsi="Calibri" w:cs="Calibri"/>
        </w:rPr>
        <w:t> </w:t>
      </w:r>
      <w:r w:rsidRPr="005C7E7D">
        <w:rPr>
          <w:rFonts w:ascii="United Sans Rg Lt" w:hAnsi="United Sans Rg Lt"/>
        </w:rPr>
        <w:t xml:space="preserve">najważniejszych miejsc </w:t>
      </w:r>
      <w:r w:rsidR="005C7E7D">
        <w:rPr>
          <w:rFonts w:ascii="United Sans Rg Lt" w:hAnsi="United Sans Rg Lt"/>
        </w:rPr>
        <w:t xml:space="preserve">prezentujących sztukę </w:t>
      </w:r>
      <w:r w:rsidRPr="005C7E7D">
        <w:rPr>
          <w:rFonts w:ascii="United Sans Rg Lt" w:hAnsi="United Sans Rg Lt"/>
        </w:rPr>
        <w:t>nowoczesn</w:t>
      </w:r>
      <w:r w:rsidR="005C7E7D">
        <w:rPr>
          <w:rFonts w:ascii="United Sans Rg Lt" w:hAnsi="United Sans Rg Lt"/>
        </w:rPr>
        <w:t>ą</w:t>
      </w:r>
      <w:r w:rsidRPr="005C7E7D">
        <w:rPr>
          <w:rFonts w:ascii="United Sans Rg Lt" w:hAnsi="United Sans Rg Lt"/>
        </w:rPr>
        <w:t xml:space="preserve"> i eksperymentaln</w:t>
      </w:r>
      <w:r w:rsidR="005C7E7D">
        <w:rPr>
          <w:rFonts w:ascii="United Sans Rg Lt" w:hAnsi="United Sans Rg Lt"/>
        </w:rPr>
        <w:t xml:space="preserve">ą </w:t>
      </w:r>
      <w:r w:rsidRPr="005C7E7D">
        <w:rPr>
          <w:rFonts w:ascii="United Sans Rg Lt" w:hAnsi="United Sans Rg Lt"/>
        </w:rPr>
        <w:t>w</w:t>
      </w:r>
      <w:r w:rsidR="005C7E7D">
        <w:rPr>
          <w:rFonts w:ascii="Calibri" w:hAnsi="Calibri" w:cs="Calibri"/>
        </w:rPr>
        <w:t> </w:t>
      </w:r>
      <w:r w:rsidRPr="005C7E7D">
        <w:rPr>
          <w:rFonts w:ascii="United Sans Rg Lt" w:hAnsi="United Sans Rg Lt"/>
        </w:rPr>
        <w:t>Europie.</w:t>
      </w:r>
    </w:p>
    <w:p w14:paraId="4A7285FE" w14:textId="4FA0EC02" w:rsidR="00C61B9F" w:rsidRPr="005C7E7D" w:rsidRDefault="00C61B9F" w:rsidP="005C7E7D">
      <w:pPr>
        <w:spacing w:line="360" w:lineRule="auto"/>
        <w:rPr>
          <w:rFonts w:ascii="United Sans Rg Lt" w:hAnsi="United Sans Rg Lt"/>
        </w:rPr>
      </w:pPr>
      <w:r w:rsidRPr="005C7E7D">
        <w:rPr>
          <w:rFonts w:ascii="United Sans Rg Lt" w:hAnsi="United Sans Rg Lt"/>
        </w:rPr>
        <w:t>Głównym tematem wystawy jest widzenie</w:t>
      </w:r>
      <w:r w:rsidR="005C7E7D">
        <w:rPr>
          <w:rFonts w:ascii="United Sans Rg Lt" w:hAnsi="United Sans Rg Lt"/>
        </w:rPr>
        <w:t xml:space="preserve"> To</w:t>
      </w:r>
      <w:r w:rsidRPr="005C7E7D">
        <w:rPr>
          <w:rFonts w:ascii="United Sans Rg Lt" w:hAnsi="United Sans Rg Lt"/>
        </w:rPr>
        <w:t xml:space="preserve"> jak patrzymy na świat i jak go rozumiemy. Jej tytuł nawiązuje do filmu i książki Johna Bergera </w:t>
      </w:r>
      <w:r w:rsidRPr="005C7E7D">
        <w:rPr>
          <w:rFonts w:ascii="United Sans Rg Lt" w:hAnsi="United Sans Rg Lt"/>
          <w:i/>
        </w:rPr>
        <w:t>Sposoby widzenia</w:t>
      </w:r>
      <w:r w:rsidRPr="005C7E7D">
        <w:rPr>
          <w:rFonts w:ascii="United Sans Rg Lt" w:hAnsi="United Sans Rg Lt"/>
        </w:rPr>
        <w:t xml:space="preserve"> oraz do </w:t>
      </w:r>
      <w:r w:rsidRPr="005C7E7D">
        <w:rPr>
          <w:rFonts w:ascii="United Sans Rg Lt" w:hAnsi="United Sans Rg Lt"/>
          <w:i/>
        </w:rPr>
        <w:t>Teorii widzenia</w:t>
      </w:r>
      <w:r w:rsidRPr="005C7E7D">
        <w:rPr>
          <w:rFonts w:ascii="United Sans Rg Lt" w:hAnsi="United Sans Rg Lt"/>
        </w:rPr>
        <w:t xml:space="preserve"> </w:t>
      </w:r>
      <w:r w:rsidR="005C7E7D">
        <w:rPr>
          <w:rFonts w:ascii="United Sans Rg Lt" w:hAnsi="United Sans Rg Lt"/>
        </w:rPr>
        <w:t xml:space="preserve">książki napisanej przez </w:t>
      </w:r>
      <w:r w:rsidRPr="005C7E7D">
        <w:rPr>
          <w:rFonts w:ascii="United Sans Rg Lt" w:hAnsi="United Sans Rg Lt"/>
        </w:rPr>
        <w:t>Władysława Strzemińskiego. Obaj artyści uważali, że patrzenie nie jest obojętne</w:t>
      </w:r>
      <w:r w:rsidR="00BC04EE" w:rsidRPr="005C7E7D">
        <w:rPr>
          <w:rFonts w:ascii="United Sans Rg Lt" w:hAnsi="United Sans Rg Lt"/>
        </w:rPr>
        <w:t xml:space="preserve"> i</w:t>
      </w:r>
      <w:r w:rsidR="005C7E7D">
        <w:rPr>
          <w:rFonts w:ascii="Calibri" w:hAnsi="Calibri" w:cs="Calibri"/>
        </w:rPr>
        <w:t> </w:t>
      </w:r>
      <w:r w:rsidRPr="005C7E7D">
        <w:rPr>
          <w:rFonts w:ascii="United Sans Rg Lt" w:hAnsi="United Sans Rg Lt"/>
        </w:rPr>
        <w:t>zależy od naszej kultury, historii i emocji.</w:t>
      </w:r>
    </w:p>
    <w:p w14:paraId="44F18E02" w14:textId="2189ED5F" w:rsidR="00C61B9F" w:rsidRPr="005C7E7D" w:rsidRDefault="00C61B9F" w:rsidP="005C7E7D">
      <w:pPr>
        <w:spacing w:line="360" w:lineRule="auto"/>
        <w:rPr>
          <w:rFonts w:ascii="United Sans Rg Lt" w:hAnsi="United Sans Rg Lt"/>
        </w:rPr>
      </w:pPr>
      <w:r w:rsidRPr="005C7E7D">
        <w:rPr>
          <w:rFonts w:ascii="United Sans Rg Lt" w:hAnsi="United Sans Rg Lt"/>
        </w:rPr>
        <w:t>Na wystawie można zobaczyć prace, które poruszają między innymi tematy takie jak:</w:t>
      </w:r>
    </w:p>
    <w:p w14:paraId="4B765F12" w14:textId="6B8AECAE" w:rsidR="00C61B9F" w:rsidRPr="005C7E7D" w:rsidRDefault="00C61B9F" w:rsidP="005C7E7D">
      <w:pPr>
        <w:pStyle w:val="Akapitzlist"/>
        <w:numPr>
          <w:ilvl w:val="0"/>
          <w:numId w:val="1"/>
        </w:numPr>
        <w:spacing w:line="360" w:lineRule="auto"/>
        <w:rPr>
          <w:rFonts w:ascii="United Sans Rg Lt" w:hAnsi="United Sans Rg Lt"/>
        </w:rPr>
      </w:pPr>
      <w:r w:rsidRPr="005C7E7D">
        <w:rPr>
          <w:rFonts w:ascii="United Sans Rg Lt" w:hAnsi="United Sans Rg Lt"/>
        </w:rPr>
        <w:t>związek między wzrokiem a pamięcią</w:t>
      </w:r>
    </w:p>
    <w:p w14:paraId="46E9FEE4" w14:textId="08213370" w:rsidR="00C61B9F" w:rsidRPr="005C7E7D" w:rsidRDefault="005C7E7D" w:rsidP="005C7E7D">
      <w:pPr>
        <w:pStyle w:val="Akapitzlist"/>
        <w:numPr>
          <w:ilvl w:val="0"/>
          <w:numId w:val="1"/>
        </w:numPr>
        <w:spacing w:line="360" w:lineRule="auto"/>
        <w:rPr>
          <w:rFonts w:ascii="United Sans Rg Lt" w:hAnsi="United Sans Rg Lt"/>
        </w:rPr>
      </w:pPr>
      <w:r>
        <w:rPr>
          <w:rFonts w:ascii="United Sans Rg Lt" w:hAnsi="United Sans Rg Lt"/>
        </w:rPr>
        <w:t xml:space="preserve">wpływ </w:t>
      </w:r>
      <w:r w:rsidR="00C61B9F" w:rsidRPr="005C7E7D">
        <w:rPr>
          <w:rFonts w:ascii="United Sans Rg Lt" w:hAnsi="United Sans Rg Lt"/>
        </w:rPr>
        <w:t>społeczeństw</w:t>
      </w:r>
      <w:r>
        <w:rPr>
          <w:rFonts w:ascii="United Sans Rg Lt" w:hAnsi="United Sans Rg Lt"/>
        </w:rPr>
        <w:t>a</w:t>
      </w:r>
      <w:r w:rsidR="00C61B9F" w:rsidRPr="005C7E7D">
        <w:rPr>
          <w:rFonts w:ascii="United Sans Rg Lt" w:hAnsi="United Sans Rg Lt"/>
        </w:rPr>
        <w:t xml:space="preserve"> na to, co widzimy</w:t>
      </w:r>
    </w:p>
    <w:p w14:paraId="670B688A" w14:textId="091DAB99" w:rsidR="00C61B9F" w:rsidRPr="005C7E7D" w:rsidRDefault="00C61B9F" w:rsidP="005C7E7D">
      <w:pPr>
        <w:pStyle w:val="Akapitzlist"/>
        <w:numPr>
          <w:ilvl w:val="0"/>
          <w:numId w:val="1"/>
        </w:numPr>
        <w:spacing w:line="360" w:lineRule="auto"/>
        <w:rPr>
          <w:rFonts w:ascii="United Sans Rg Lt" w:hAnsi="United Sans Rg Lt"/>
        </w:rPr>
      </w:pPr>
      <w:r w:rsidRPr="005C7E7D">
        <w:rPr>
          <w:rFonts w:ascii="United Sans Rg Lt" w:hAnsi="United Sans Rg Lt"/>
        </w:rPr>
        <w:t>patrzenie jako sposób poznawania świata,</w:t>
      </w:r>
    </w:p>
    <w:p w14:paraId="5FD88A94" w14:textId="14658411" w:rsidR="00C61B9F" w:rsidRPr="005C7E7D" w:rsidRDefault="00C61B9F" w:rsidP="005C7E7D">
      <w:pPr>
        <w:pStyle w:val="Akapitzlist"/>
        <w:numPr>
          <w:ilvl w:val="0"/>
          <w:numId w:val="1"/>
        </w:numPr>
        <w:spacing w:line="360" w:lineRule="auto"/>
        <w:rPr>
          <w:rFonts w:ascii="United Sans Rg Lt" w:hAnsi="United Sans Rg Lt"/>
        </w:rPr>
      </w:pPr>
      <w:bookmarkStart w:id="0" w:name="_GoBack"/>
      <w:bookmarkEnd w:id="0"/>
      <w:r w:rsidRPr="005C7E7D">
        <w:rPr>
          <w:rFonts w:ascii="United Sans Rg Lt" w:hAnsi="United Sans Rg Lt"/>
        </w:rPr>
        <w:t xml:space="preserve">kim jesteśmy, jak czujemy i jak </w:t>
      </w:r>
      <w:r w:rsidR="00760FAF" w:rsidRPr="005C7E7D">
        <w:rPr>
          <w:rFonts w:ascii="United Sans Rg Lt" w:hAnsi="United Sans Rg Lt"/>
        </w:rPr>
        <w:t>poznajemy świat</w:t>
      </w:r>
      <w:r w:rsidRPr="005C7E7D">
        <w:rPr>
          <w:rFonts w:ascii="United Sans Rg Lt" w:hAnsi="United Sans Rg Lt"/>
        </w:rPr>
        <w:t xml:space="preserve"> zmysłami.</w:t>
      </w:r>
    </w:p>
    <w:p w14:paraId="12AD9063" w14:textId="120F74F4" w:rsidR="00C61B9F" w:rsidRPr="005C7E7D" w:rsidRDefault="00C61B9F" w:rsidP="005C7E7D">
      <w:pPr>
        <w:spacing w:line="360" w:lineRule="auto"/>
        <w:rPr>
          <w:rFonts w:ascii="United Sans Rg Lt" w:hAnsi="United Sans Rg Lt"/>
        </w:rPr>
      </w:pPr>
      <w:r w:rsidRPr="005C7E7D">
        <w:rPr>
          <w:rFonts w:ascii="United Sans Rg Lt" w:hAnsi="United Sans Rg Lt"/>
        </w:rPr>
        <w:t>Prace zgromadzone na wystawie nie są ułożone po kolei według dat. Całość podzielona jest na 13</w:t>
      </w:r>
      <w:r w:rsidR="00BC04EE" w:rsidRPr="005C7E7D">
        <w:rPr>
          <w:rFonts w:ascii="Calibri" w:hAnsi="Calibri" w:cs="Calibri"/>
        </w:rPr>
        <w:t> </w:t>
      </w:r>
      <w:r w:rsidRPr="005C7E7D">
        <w:rPr>
          <w:rFonts w:ascii="United Sans Rg Lt" w:hAnsi="United Sans Rg Lt"/>
        </w:rPr>
        <w:t>części, z których każda ma tytuł jednej z prezentowanych prac i pokazuje inny sposób patrzenia. Dodatkowo w przestrzeni wystawy znajduje się 5 „kapsuł czasu”. Są to miejsca, w których zgromadzono dzieła związane z najważniejszymi momentami w historii Muzeum Sztuki w Łodzi.</w:t>
      </w:r>
    </w:p>
    <w:p w14:paraId="02A3F2D2" w14:textId="070214BC" w:rsidR="00F86918" w:rsidRPr="005C7E7D" w:rsidRDefault="00C61B9F" w:rsidP="005C7E7D">
      <w:pPr>
        <w:spacing w:line="360" w:lineRule="auto"/>
        <w:rPr>
          <w:rFonts w:ascii="United Sans Rg Lt" w:hAnsi="United Sans Rg Lt"/>
        </w:rPr>
      </w:pPr>
      <w:r w:rsidRPr="005C7E7D">
        <w:rPr>
          <w:rFonts w:ascii="United Sans Rg Lt" w:hAnsi="United Sans Rg Lt"/>
        </w:rPr>
        <w:t>Wystawa pokazuje, że sposób, w jaki widzimy rzeczywistość, zależy od wielu czynników – od naszej wiedzy, pozycji społecznej, a nawet od używanej technologii.</w:t>
      </w:r>
    </w:p>
    <w:sectPr w:rsidR="00F86918" w:rsidRPr="005C7E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0C6C4F"/>
    <w:multiLevelType w:val="hybridMultilevel"/>
    <w:tmpl w:val="C18A7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3F"/>
    <w:rsid w:val="001E6AE1"/>
    <w:rsid w:val="0047226F"/>
    <w:rsid w:val="00581B04"/>
    <w:rsid w:val="005C7E7D"/>
    <w:rsid w:val="005F1B80"/>
    <w:rsid w:val="0067791E"/>
    <w:rsid w:val="00760FAF"/>
    <w:rsid w:val="007D1C31"/>
    <w:rsid w:val="00A33DF5"/>
    <w:rsid w:val="00A412CD"/>
    <w:rsid w:val="00A6343F"/>
    <w:rsid w:val="00B517E5"/>
    <w:rsid w:val="00BC04EE"/>
    <w:rsid w:val="00C6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6EBC5"/>
  <w15:chartTrackingRefBased/>
  <w15:docId w15:val="{C7F3C359-81A7-40A7-8A08-ED151DDD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517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17E5"/>
    <w:rPr>
      <w:rFonts w:asciiTheme="majorHAnsi" w:eastAsiaTheme="majorEastAsia" w:hAnsiTheme="majorHAnsi" w:cstheme="majorBidi"/>
      <w:b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677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C61B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8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MSL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Sposoby widzenia. Tekst kuratorski w języku prostym</dc:title>
  <dc:subject/>
  <dc:creator>IWojtyczka</dc:creator>
  <cp:keywords/>
  <dc:description/>
  <cp:lastModifiedBy>IWojtyczka</cp:lastModifiedBy>
  <cp:revision>7</cp:revision>
  <dcterms:created xsi:type="dcterms:W3CDTF">2025-10-07T10:48:00Z</dcterms:created>
  <dcterms:modified xsi:type="dcterms:W3CDTF">2025-10-21T09:29:00Z</dcterms:modified>
</cp:coreProperties>
</file>